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614C4BA4" w:rsidR="009D60D5" w:rsidRPr="001B5605" w:rsidRDefault="0013197E"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Content>
                <w:r>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11B6287" w:rsidR="00C2145A" w:rsidRPr="001B5605" w:rsidRDefault="00C2145A" w:rsidP="00357B46">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13197E" w:rsidRPr="0013197E">
              <w:rPr>
                <w:rFonts w:asciiTheme="minorHAnsi" w:hAnsiTheme="minorHAnsi"/>
                <w:b/>
                <w:smallCaps/>
                <w:sz w:val="24"/>
              </w:rPr>
              <w:t>25-AC3366</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71A76F1F" w:rsidR="00741D2D" w:rsidRPr="001B5605" w:rsidRDefault="0013197E" w:rsidP="00996FEA">
            <w:pPr>
              <w:rPr>
                <w:rFonts w:asciiTheme="minorHAnsi" w:hAnsiTheme="minorHAnsi" w:cs="Arial"/>
                <w:sz w:val="24"/>
              </w:rPr>
            </w:pPr>
            <w:r w:rsidRPr="0013197E">
              <w:rPr>
                <w:rFonts w:asciiTheme="minorHAnsi" w:hAnsiTheme="minorHAnsi" w:cs="Arial"/>
                <w:i/>
                <w:sz w:val="24"/>
              </w:rPr>
              <w:t>Mission d’assistance à maitrise d’ouvrage concessions culturelles et touristiques - bâtiments historiques</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E809CC5" w14:textId="00D954A3" w:rsidR="00741D2D" w:rsidRPr="001B5605" w:rsidRDefault="00540DA7" w:rsidP="00E953FE">
            <w:pPr>
              <w:rPr>
                <w:rFonts w:asciiTheme="minorHAnsi" w:hAnsiTheme="minorHAnsi" w:cs="Arial"/>
                <w:sz w:val="24"/>
              </w:rPr>
            </w:pPr>
            <w:bookmarkStart w:id="2" w:name="_Toc392669628"/>
            <w:r w:rsidRPr="001B5605">
              <w:rPr>
                <w:rFonts w:asciiTheme="minorHAnsi" w:hAnsiTheme="minorHAnsi"/>
                <w:b/>
                <w:smallCaps/>
                <w:sz w:val="24"/>
              </w:rPr>
              <w:t>MONTANT MAXIMAL DU CONTRAT :</w:t>
            </w:r>
            <w:bookmarkEnd w:id="2"/>
            <w:r w:rsidR="0013197E">
              <w:rPr>
                <w:rFonts w:asciiTheme="minorHAnsi" w:hAnsiTheme="minorHAnsi"/>
                <w:b/>
                <w:smallCaps/>
                <w:sz w:val="24"/>
              </w:rPr>
              <w:t xml:space="preserve"> </w:t>
            </w:r>
            <w:r w:rsidR="0013197E" w:rsidRPr="0013197E">
              <w:rPr>
                <w:rFonts w:asciiTheme="minorHAnsi" w:hAnsiTheme="minorHAnsi"/>
                <w:b/>
                <w:caps/>
                <w:smallCaps/>
                <w:sz w:val="24"/>
              </w:rPr>
              <w:t>125 000 € HT</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285779D5" w:rsidR="00707B69" w:rsidRPr="003A13E0" w:rsidRDefault="00801ECC" w:rsidP="0013197E">
            <w:pPr>
              <w:tabs>
                <w:tab w:val="left" w:pos="510"/>
                <w:tab w:val="left" w:pos="10977"/>
              </w:tabs>
              <w:spacing w:before="120"/>
              <w:ind w:right="83"/>
              <w:jc w:val="both"/>
              <w:rPr>
                <w:rFonts w:asciiTheme="minorHAnsi" w:hAnsiTheme="minorHAnsi" w:cs="Arial"/>
                <w:sz w:val="22"/>
                <w:szCs w:val="22"/>
              </w:rPr>
            </w:pPr>
            <w:r w:rsidRPr="00E52245">
              <w:rPr>
                <w:rFonts w:asciiTheme="minorHAnsi" w:hAnsiTheme="minorHAnsi" w:cstheme="minorHAnsi"/>
                <w:sz w:val="22"/>
                <w:szCs w:val="22"/>
              </w:rPr>
              <w:t xml:space="preserve">Il est passé par </w:t>
            </w:r>
            <w:r w:rsidRPr="00E52245">
              <w:rPr>
                <w:rFonts w:asciiTheme="minorHAnsi" w:hAnsiTheme="minorHAnsi" w:cstheme="minorHAnsi"/>
                <w:sz w:val="22"/>
                <w:szCs w:val="22"/>
                <w:highlight w:val="green"/>
              </w:rPr>
              <w:t xml:space="preserve">procédure adaptée en application </w:t>
            </w:r>
            <w:r w:rsidR="00554974" w:rsidRPr="00E52245">
              <w:rPr>
                <w:rFonts w:asciiTheme="minorHAnsi" w:hAnsiTheme="minorHAnsi" w:cstheme="minorHAnsi"/>
                <w:sz w:val="22"/>
                <w:szCs w:val="22"/>
                <w:highlight w:val="green"/>
              </w:rPr>
              <w:t xml:space="preserve">des articles L. 2123-1 et </w:t>
            </w:r>
            <w:r w:rsidR="00554974" w:rsidRPr="0084564E">
              <w:rPr>
                <w:rFonts w:asciiTheme="minorHAnsi" w:hAnsiTheme="minorHAnsi" w:cstheme="minorHAnsi"/>
                <w:sz w:val="22"/>
                <w:szCs w:val="22"/>
                <w:highlight w:val="green"/>
              </w:rPr>
              <w:t>R. 2123-1 au R. 2123-7 du CCP</w:t>
            </w:r>
            <w:r w:rsidR="0013197E">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13197E">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13197E">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13197E">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13197E">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13197E">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13197E">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13197E">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13197E">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13197E">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13197E">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13197E">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13197E">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13197E">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13197E">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13197E">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13197E">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13197E">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13197E">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13197E">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13197E">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13197E">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13197E">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13197E">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13197E">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13197E">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13197E">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13197E">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13197E">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13197E">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13197E">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13197E">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13197E">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13197E">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13197E">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13197E">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13197E">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13197E">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13197E">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13197E">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13197E">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13197E">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13197E">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0227CBBA" w14:textId="77777777" w:rsidR="0013197E" w:rsidRDefault="0013197E" w:rsidP="0013197E">
      <w:pPr>
        <w:spacing w:before="240"/>
        <w:jc w:val="both"/>
        <w:rPr>
          <w:rFonts w:asciiTheme="minorHAnsi" w:hAnsiTheme="minorHAnsi" w:cs="Arial"/>
          <w:sz w:val="22"/>
        </w:rPr>
      </w:pPr>
      <w:r w:rsidRPr="0013197E">
        <w:rPr>
          <w:rFonts w:asciiTheme="minorHAnsi" w:hAnsiTheme="minorHAnsi" w:cs="Arial"/>
          <w:sz w:val="22"/>
        </w:rPr>
        <w:t>La mise en œuvre du présent contrat-cadre s’inscrit dans le cadre du projet de coopération signé entre l’Union Européenne et Expertise France, portant sur l'appui à la diversification du tourisme - Tounes Wijhetouna ambitionne de diversifier l'offre touristique tunisienne en créant des synergies entre les secteurs du tourisme, de l'artisanat, des produits du terroir et du patrimoine culturel. L'objectif global du programme est de contribuer au développement économique durable et inclusif de la Tunisie, EXPERTISE FRANCE demande au CONTRACTANT qui l’accepte, de réaliser au titre du présent CONTRAT les prestations et de livrer les fournitures décrites dans l’annexe technique jointe « Cahier des charges ».</w:t>
      </w:r>
    </w:p>
    <w:p w14:paraId="704EEA84" w14:textId="71C087D4" w:rsidR="00DE1070" w:rsidRPr="00A86E43" w:rsidRDefault="00DE1070" w:rsidP="0013197E">
      <w:pPr>
        <w:spacing w:before="240"/>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19CCA49F" w:rsidR="000A6E96" w:rsidRPr="00A86E43" w:rsidRDefault="00E551F2" w:rsidP="0013197E">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13197E" w:rsidRPr="0013197E">
        <w:rPr>
          <w:rFonts w:asciiTheme="minorHAnsi" w:hAnsiTheme="minorHAnsi" w:cs="Arial"/>
          <w:i/>
          <w:sz w:val="24"/>
        </w:rPr>
        <w:t>Mission d’assistance à maitrise d’ouvrage concessions culturelles et touristiques - bâtiments historiques</w:t>
      </w:r>
      <w:r w:rsidR="0013197E">
        <w:rPr>
          <w:rFonts w:asciiTheme="minorHAnsi" w:hAnsiTheme="minorHAnsi" w:cs="Arial"/>
          <w:i/>
          <w:sz w:val="24"/>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281FCD2E" w14:textId="00C6AD57" w:rsidR="00110630" w:rsidRPr="00A86E43" w:rsidRDefault="00110630" w:rsidP="00C973C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Les bons de commande passés au titre </w:t>
      </w:r>
      <w:r w:rsidR="001B140A" w:rsidRPr="00A86E43">
        <w:rPr>
          <w:rFonts w:asciiTheme="minorHAnsi" w:hAnsiTheme="minorHAnsi" w:cstheme="minorHAnsi"/>
          <w:szCs w:val="22"/>
        </w:rPr>
        <w:t xml:space="preserve">du présent </w:t>
      </w:r>
      <w:r w:rsidR="00E114AE">
        <w:rPr>
          <w:rFonts w:asciiTheme="minorHAnsi" w:hAnsiTheme="minorHAnsi" w:cs="Arial"/>
          <w:smallCaps/>
        </w:rPr>
        <w:t>Contractant</w:t>
      </w:r>
      <w:r w:rsidR="001B140A" w:rsidRPr="00A86E43">
        <w:rPr>
          <w:rFonts w:asciiTheme="minorHAnsi" w:hAnsiTheme="minorHAnsi" w:cstheme="minorHAnsi"/>
          <w:szCs w:val="22"/>
        </w:rPr>
        <w:t xml:space="preserve"> (cf. Annexe 2</w:t>
      </w:r>
      <w:r w:rsidRPr="00A86E43">
        <w:rPr>
          <w:rFonts w:asciiTheme="minorHAnsi" w:hAnsiTheme="minorHAnsi" w:cstheme="minorHAnsi"/>
          <w:szCs w:val="22"/>
        </w:rPr>
        <w:t xml:space="preserve"> (ci-joints</w:t>
      </w:r>
      <w:r w:rsidR="0013197E">
        <w:rPr>
          <w:rFonts w:asciiTheme="minorHAnsi" w:hAnsiTheme="minorHAnsi" w:cstheme="minorHAnsi"/>
          <w:szCs w:val="22"/>
        </w:rPr>
        <w:t>) : modèle de bon de commande)</w:t>
      </w:r>
    </w:p>
    <w:p w14:paraId="4AD0908E" w14:textId="6481DE27" w:rsidR="00996FEA" w:rsidRPr="00A86E43" w:rsidRDefault="00BC5A69" w:rsidP="000916C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0916C8">
        <w:rPr>
          <w:rFonts w:asciiTheme="minorHAnsi" w:hAnsiTheme="minorHAnsi" w:cstheme="minorHAnsi"/>
          <w:szCs w:val="22"/>
        </w:rPr>
        <w:t>,</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2940847D" w:rsidR="00A246CE" w:rsidRPr="00A86E43" w:rsidRDefault="00804BED" w:rsidP="009C2064">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9C2064">
        <w:rPr>
          <w:rFonts w:asciiTheme="minorHAnsi" w:hAnsiTheme="minorHAnsi" w:cstheme="minorHAnsi"/>
          <w:szCs w:val="22"/>
        </w:rPr>
        <w:t xml:space="preserve">marché public de </w:t>
      </w:r>
      <w:r w:rsidR="005F0451" w:rsidRPr="00A86E43">
        <w:rPr>
          <w:rFonts w:asciiTheme="minorHAnsi" w:hAnsiTheme="minorHAnsi" w:cstheme="minorHAnsi"/>
          <w:szCs w:val="22"/>
        </w:rPr>
        <w:t>services</w:t>
      </w:r>
      <w:r w:rsidR="009C2064">
        <w:rPr>
          <w:rFonts w:asciiTheme="minorHAnsi" w:hAnsiTheme="minorHAnsi" w:cstheme="minorHAnsi"/>
          <w:szCs w:val="22"/>
        </w:rPr>
        <w:t xml:space="preserve"> </w:t>
      </w:r>
      <w:r w:rsidRPr="00A86E43">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9C2064">
        <w:rPr>
          <w:rFonts w:asciiTheme="minorHAnsi" w:hAnsiTheme="minorHAnsi" w:cstheme="minorHAnsi"/>
          <w:szCs w:val="22"/>
        </w:rPr>
        <w:t>.</w:t>
      </w:r>
    </w:p>
    <w:p w14:paraId="28702085" w14:textId="5B8F21AE" w:rsidR="001B6DF5" w:rsidRPr="00A86E43" w:rsidRDefault="001B6DF5" w:rsidP="009C2064">
      <w:pPr>
        <w:pStyle w:val="u"/>
        <w:widowControl w:val="0"/>
        <w:spacing w:before="240"/>
        <w:ind w:left="567"/>
        <w:rPr>
          <w:rFonts w:asciiTheme="minorHAnsi" w:hAnsiTheme="minorHAnsi" w:cstheme="minorHAnsi"/>
          <w:szCs w:val="22"/>
        </w:rPr>
      </w:pPr>
      <w:r w:rsidRPr="00A86E43">
        <w:rPr>
          <w:rFonts w:asciiTheme="minorHAnsi" w:hAnsiTheme="minorHAnsi" w:cstheme="minorHAnsi"/>
          <w:szCs w:val="22"/>
        </w:rPr>
        <w:t xml:space="preserve">Le 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un accord-cadre mono-att</w:t>
      </w:r>
      <w:r w:rsidR="00554974" w:rsidRPr="00A86E43">
        <w:rPr>
          <w:rFonts w:asciiTheme="minorHAnsi" w:hAnsiTheme="minorHAnsi" w:cstheme="minorHAnsi"/>
          <w:szCs w:val="22"/>
        </w:rPr>
        <w:t xml:space="preserve">ributaire au sens de </w:t>
      </w:r>
      <w:r w:rsidR="00554974" w:rsidRPr="00A86E43">
        <w:rPr>
          <w:rFonts w:asciiTheme="minorHAnsi" w:hAnsiTheme="minorHAnsi" w:cstheme="minorHAnsi"/>
          <w:szCs w:val="22"/>
          <w:highlight w:val="green"/>
        </w:rPr>
        <w:t>l’article L. 2125-1</w:t>
      </w:r>
      <w:r w:rsidRPr="00A86E43">
        <w:rPr>
          <w:rFonts w:asciiTheme="minorHAnsi" w:hAnsiTheme="minorHAnsi" w:cstheme="minorHAnsi"/>
          <w:szCs w:val="22"/>
          <w:highlight w:val="green"/>
        </w:rPr>
        <w:t xml:space="preserve"> </w:t>
      </w:r>
      <w:r w:rsidR="00554974" w:rsidRPr="00A86E43">
        <w:rPr>
          <w:rFonts w:asciiTheme="minorHAnsi" w:hAnsiTheme="minorHAnsi" w:cstheme="minorHAnsi"/>
          <w:szCs w:val="22"/>
          <w:highlight w:val="green"/>
        </w:rPr>
        <w:t>du CCP</w:t>
      </w:r>
      <w:r w:rsidRPr="00A86E43">
        <w:rPr>
          <w:rFonts w:asciiTheme="minorHAnsi" w:hAnsiTheme="minorHAnsi" w:cstheme="minorHAnsi"/>
          <w:szCs w:val="22"/>
        </w:rPr>
        <w:t>. Il s’exécute au fur et à mesure de l’émission de bons de co</w:t>
      </w:r>
      <w:r w:rsidR="00554974" w:rsidRPr="00A86E43">
        <w:rPr>
          <w:rFonts w:asciiTheme="minorHAnsi" w:hAnsiTheme="minorHAnsi" w:cstheme="minorHAnsi"/>
          <w:szCs w:val="22"/>
        </w:rPr>
        <w:t xml:space="preserve">mmande conformément </w:t>
      </w:r>
      <w:r w:rsidR="00554974" w:rsidRPr="00A86E43">
        <w:rPr>
          <w:rFonts w:asciiTheme="minorHAnsi" w:hAnsiTheme="minorHAnsi" w:cstheme="minorHAnsi"/>
          <w:szCs w:val="22"/>
          <w:highlight w:val="green"/>
        </w:rPr>
        <w:t>aux articles R. 2162-13 et R.2162-14</w:t>
      </w:r>
      <w:r w:rsidRPr="00A86E43">
        <w:rPr>
          <w:rFonts w:asciiTheme="minorHAnsi" w:hAnsiTheme="minorHAnsi" w:cstheme="minorHAnsi"/>
          <w:szCs w:val="22"/>
          <w:highlight w:val="green"/>
        </w:rPr>
        <w:t xml:space="preserve"> </w:t>
      </w:r>
      <w:r w:rsidR="00554974" w:rsidRPr="00A86E43">
        <w:rPr>
          <w:rFonts w:asciiTheme="minorHAnsi" w:hAnsiTheme="minorHAnsi" w:cstheme="minorHAnsi"/>
          <w:szCs w:val="22"/>
          <w:highlight w:val="green"/>
        </w:rPr>
        <w:t>du CCP</w:t>
      </w:r>
      <w:r w:rsidR="00554974" w:rsidRPr="00A86E43">
        <w:rPr>
          <w:rFonts w:asciiTheme="minorHAnsi" w:hAnsiTheme="minorHAnsi" w:cstheme="minorHAnsi"/>
          <w:szCs w:val="22"/>
        </w:rPr>
        <w:t xml:space="preserve"> </w:t>
      </w:r>
      <w:r w:rsidRPr="00A86E43">
        <w:rPr>
          <w:rFonts w:asciiTheme="minorHAnsi" w:hAnsiTheme="minorHAnsi" w:cstheme="minorHAnsi"/>
          <w:szCs w:val="22"/>
        </w:rPr>
        <w:t>et aux stipulations contractuelles fixées dans ses conditions particulières et générales.</w:t>
      </w:r>
      <w:r w:rsidR="009C2064"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3EA7AFC1" w:rsidR="00413542" w:rsidRPr="00A86E43" w:rsidRDefault="00413542" w:rsidP="00986B5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de </w:t>
      </w:r>
      <w:r w:rsidR="00986B52">
        <w:rPr>
          <w:rFonts w:asciiTheme="minorHAnsi" w:hAnsiTheme="minorHAnsi" w:cstheme="minorHAnsi"/>
          <w:szCs w:val="22"/>
        </w:rPr>
        <w:t>23</w:t>
      </w:r>
      <w:r w:rsidR="00986B52" w:rsidRPr="0006068D">
        <w:rPr>
          <w:rFonts w:asciiTheme="minorHAnsi" w:hAnsiTheme="minorHAnsi" w:cstheme="minorHAnsi"/>
          <w:szCs w:val="22"/>
        </w:rPr>
        <w:t xml:space="preserve"> </w:t>
      </w:r>
      <w:r w:rsidR="00986B52">
        <w:rPr>
          <w:rFonts w:asciiTheme="minorHAnsi" w:hAnsiTheme="minorHAnsi" w:cs="Arial"/>
        </w:rPr>
        <w:t xml:space="preserve">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986B52">
        <w:rPr>
          <w:rFonts w:asciiTheme="minorHAnsi" w:hAnsiTheme="minorHAnsi" w:cs="Arial"/>
          <w:smallCaps/>
        </w:rPr>
        <w:t>France</w:t>
      </w:r>
      <w:r w:rsidR="00986B52">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7E9DA319" w:rsidR="001E12A9" w:rsidRPr="00A86E43" w:rsidRDefault="001E12A9" w:rsidP="00986B52">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026A17B6" w:rsidR="001E12A9" w:rsidRPr="00A86E43" w:rsidRDefault="001E12A9" w:rsidP="00986B52">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986B52">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986B52" w:rsidRPr="00A86E43">
        <w:rPr>
          <w:rFonts w:asciiTheme="minorHAnsi" w:hAnsiTheme="minorHAnsi" w:cs="Arial"/>
        </w:rPr>
        <w:t xml:space="preserve"> </w:t>
      </w:r>
      <w:r w:rsidRPr="00A86E43">
        <w:rPr>
          <w:rFonts w:asciiTheme="minorHAnsi" w:hAnsiTheme="minorHAnsi" w:cs="Arial"/>
        </w:rPr>
        <w:t>sera précisé dans chaque bon de commande.</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6CBF0E90" w14:textId="77777777" w:rsidR="00ED6301" w:rsidRPr="00A86E43" w:rsidRDefault="00ED6301" w:rsidP="00ED6301">
      <w:pPr>
        <w:pStyle w:val="Titre2"/>
        <w:spacing w:before="120" w:after="60"/>
        <w:rPr>
          <w:rFonts w:asciiTheme="minorHAnsi" w:hAnsiTheme="minorHAnsi"/>
          <w:sz w:val="22"/>
        </w:rPr>
      </w:pPr>
      <w:bookmarkStart w:id="14" w:name="_Toc126921975"/>
      <w:r w:rsidRPr="00A86E43">
        <w:rPr>
          <w:rFonts w:asciiTheme="minorHAnsi" w:hAnsiTheme="minorHAnsi"/>
          <w:sz w:val="22"/>
        </w:rPr>
        <w:t>Modalités de passation des bons de commande</w:t>
      </w:r>
      <w:bookmarkEnd w:id="14"/>
    </w:p>
    <w:p w14:paraId="789EAD0F" w14:textId="77777777" w:rsidR="00ED6301" w:rsidRPr="00A86E43" w:rsidRDefault="00ED6301" w:rsidP="00ED6301">
      <w:pPr>
        <w:pStyle w:val="v"/>
        <w:widowControl w:val="0"/>
        <w:spacing w:before="120"/>
        <w:ind w:left="556" w:firstLine="0"/>
        <w:rPr>
          <w:rFonts w:asciiTheme="minorHAnsi" w:hAnsiTheme="minorHAnsi" w:cs="Arial"/>
        </w:rPr>
      </w:pPr>
      <w:r w:rsidRPr="00A86E43">
        <w:rPr>
          <w:rFonts w:asciiTheme="minorHAnsi" w:hAnsiTheme="minorHAnsi" w:cs="Arial"/>
        </w:rPr>
        <w:t xml:space="preserve">Les bons de commande seront passés par </w:t>
      </w:r>
      <w:r w:rsidR="00CE73DB" w:rsidRPr="00CE73DB">
        <w:rPr>
          <w:rFonts w:asciiTheme="minorHAnsi" w:hAnsiTheme="minorHAnsi" w:cs="Arial"/>
          <w:smallCaps/>
        </w:rPr>
        <w:t>Expertise France</w:t>
      </w:r>
      <w:r w:rsidR="00A8561A" w:rsidRPr="00A86E43">
        <w:rPr>
          <w:rFonts w:asciiTheme="minorHAnsi" w:hAnsiTheme="minorHAnsi" w:cs="Arial"/>
        </w:rPr>
        <w:t xml:space="preserve"> </w:t>
      </w:r>
      <w:r w:rsidRPr="00A86E43">
        <w:rPr>
          <w:rFonts w:asciiTheme="minorHAnsi" w:hAnsiTheme="minorHAnsi" w:cs="Arial"/>
        </w:rPr>
        <w:t xml:space="preserve">en fonction de l’émergence </w:t>
      </w:r>
      <w:r w:rsidR="00A8561A" w:rsidRPr="00A86E43">
        <w:rPr>
          <w:rFonts w:asciiTheme="minorHAnsi" w:hAnsiTheme="minorHAnsi" w:cs="Arial"/>
        </w:rPr>
        <w:t xml:space="preserve">de </w:t>
      </w:r>
      <w:r w:rsidRPr="00A86E43">
        <w:rPr>
          <w:rFonts w:asciiTheme="minorHAnsi" w:hAnsiTheme="minorHAnsi" w:cs="Arial"/>
        </w:rPr>
        <w:t>ses besoins</w:t>
      </w:r>
      <w:r w:rsidR="00A8561A" w:rsidRPr="00A86E43">
        <w:rPr>
          <w:rFonts w:asciiTheme="minorHAnsi" w:hAnsiTheme="minorHAnsi" w:cs="Arial"/>
        </w:rPr>
        <w:t> :</w:t>
      </w:r>
    </w:p>
    <w:p w14:paraId="7A62174D" w14:textId="77777777" w:rsidR="00ED6301" w:rsidRPr="00A86E43" w:rsidRDefault="00312220" w:rsidP="00ED6301">
      <w:pPr>
        <w:pStyle w:val="v"/>
        <w:widowControl w:val="0"/>
        <w:spacing w:before="120"/>
        <w:ind w:left="567" w:firstLine="0"/>
        <w:rPr>
          <w:rFonts w:asciiTheme="minorHAnsi" w:hAnsiTheme="minorHAnsi" w:cs="Arial"/>
        </w:rPr>
      </w:pPr>
      <w:r w:rsidRPr="00A86E43">
        <w:rPr>
          <w:rFonts w:asciiTheme="minorHAnsi" w:hAnsiTheme="minorHAnsi" w:cs="Arial"/>
        </w:rPr>
        <w:t xml:space="preserve">Chaque bon de commande sera notifié par courrier électronique au </w:t>
      </w:r>
      <w:r w:rsidR="00AA21AB" w:rsidRPr="003A0706">
        <w:rPr>
          <w:rFonts w:asciiTheme="minorHAnsi" w:hAnsiTheme="minorHAnsi" w:cs="Arial"/>
          <w:smallCaps/>
        </w:rPr>
        <w:t>Contractant</w:t>
      </w:r>
      <w:r w:rsidRPr="00A86E43">
        <w:rPr>
          <w:rFonts w:asciiTheme="minorHAnsi" w:hAnsiTheme="minorHAnsi" w:cs="Arial"/>
          <w:smallCaps/>
        </w:rPr>
        <w:t xml:space="preserve"> </w:t>
      </w:r>
      <w:r w:rsidRPr="00A86E43">
        <w:rPr>
          <w:rFonts w:asciiTheme="minorHAnsi" w:hAnsiTheme="minorHAnsi" w:cs="Arial"/>
        </w:rPr>
        <w:t xml:space="preserve">au format défini en annexe du présent </w:t>
      </w:r>
      <w:r w:rsidRPr="00A86E43">
        <w:rPr>
          <w:rFonts w:asciiTheme="minorHAnsi" w:hAnsiTheme="minorHAnsi" w:cs="Arial"/>
          <w:smallCaps/>
        </w:rPr>
        <w:t xml:space="preserve">Contrat </w:t>
      </w:r>
      <w:r w:rsidRPr="00A86E43">
        <w:rPr>
          <w:rFonts w:asciiTheme="minorHAnsi" w:hAnsiTheme="minorHAnsi" w:cs="Arial"/>
        </w:rPr>
        <w:t>et indiquera clairement :</w:t>
      </w:r>
    </w:p>
    <w:p w14:paraId="2024D2BF"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La référence du </w:t>
      </w:r>
      <w:r w:rsidRPr="00A86E43">
        <w:rPr>
          <w:rFonts w:asciiTheme="minorHAnsi" w:eastAsia="Times New Roman" w:hAnsiTheme="minorHAnsi" w:cs="Arial"/>
          <w:smallCaps/>
          <w:sz w:val="22"/>
        </w:rPr>
        <w:t>Contrat</w:t>
      </w:r>
      <w:r w:rsidRPr="00A86E43">
        <w:rPr>
          <w:rFonts w:asciiTheme="minorHAnsi" w:eastAsia="Times New Roman" w:hAnsiTheme="minorHAnsi" w:cs="Arial"/>
          <w:sz w:val="22"/>
        </w:rPr>
        <w:t xml:space="preserve"> et du </w:t>
      </w:r>
      <w:r w:rsidRPr="00A86E43">
        <w:rPr>
          <w:rFonts w:asciiTheme="minorHAnsi" w:eastAsia="Times New Roman" w:hAnsiTheme="minorHAnsi" w:cs="Arial"/>
          <w:smallCaps/>
          <w:sz w:val="22"/>
        </w:rPr>
        <w:t>Contrat principal,</w:t>
      </w:r>
    </w:p>
    <w:p w14:paraId="3FB5A0E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désignation de la prestation d’expertise commandée,</w:t>
      </w:r>
    </w:p>
    <w:p w14:paraId="35EAD4F9"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 xml:space="preserve">Le montant du bon de commande et sa décomposition (quantité commandée </w:t>
      </w:r>
      <w:r w:rsidRPr="00A86E43">
        <w:rPr>
          <w:rFonts w:asciiTheme="minorHAnsi" w:eastAsia="Times New Roman" w:hAnsiTheme="minorHAnsi"/>
          <w:i/>
          <w:sz w:val="22"/>
        </w:rPr>
        <w:t>x</w:t>
      </w:r>
      <w:r w:rsidRPr="00A86E43">
        <w:rPr>
          <w:rFonts w:asciiTheme="minorHAnsi" w:eastAsia="Times New Roman" w:hAnsiTheme="minorHAnsi" w:cs="Arial"/>
          <w:sz w:val="22"/>
        </w:rPr>
        <w:t xml:space="preserve"> prix unitaire),</w:t>
      </w:r>
    </w:p>
    <w:p w14:paraId="0CF9357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Le lieu d’exécution,</w:t>
      </w:r>
    </w:p>
    <w:p w14:paraId="4F85DEDE" w14:textId="77777777" w:rsidR="00ED6301" w:rsidRPr="00A86E43" w:rsidRDefault="00ED6301" w:rsidP="00ED6301">
      <w:pPr>
        <w:pStyle w:val="Paragraphedeliste"/>
        <w:numPr>
          <w:ilvl w:val="0"/>
          <w:numId w:val="14"/>
        </w:numPr>
        <w:rPr>
          <w:rFonts w:asciiTheme="minorHAnsi" w:eastAsia="Times New Roman" w:hAnsiTheme="minorHAnsi" w:cs="Arial"/>
          <w:sz w:val="22"/>
        </w:rPr>
      </w:pPr>
      <w:r w:rsidRPr="00A86E43">
        <w:rPr>
          <w:rFonts w:asciiTheme="minorHAnsi" w:eastAsia="Times New Roman" w:hAnsiTheme="minorHAnsi" w:cs="Arial"/>
          <w:sz w:val="22"/>
        </w:rPr>
        <w:t>La durée d’exécution.</w:t>
      </w:r>
    </w:p>
    <w:p w14:paraId="5DC3B80C" w14:textId="79391D2F" w:rsidR="00ED6301" w:rsidRDefault="00ED6301" w:rsidP="00ED6301">
      <w:pPr>
        <w:pStyle w:val="v"/>
        <w:widowControl w:val="0"/>
        <w:spacing w:before="120"/>
        <w:ind w:left="556" w:firstLine="0"/>
        <w:rPr>
          <w:rFonts w:asciiTheme="minorHAnsi" w:hAnsiTheme="minorHAnsi" w:cstheme="minorHAnsi"/>
        </w:rPr>
      </w:pPr>
      <w:r w:rsidRPr="00A86E43">
        <w:rPr>
          <w:rFonts w:asciiTheme="minorHAnsi" w:hAnsiTheme="minorHAnsi" w:cstheme="minorHAnsi"/>
        </w:rPr>
        <w:t>Les bons de commande seront notifiés par courrie</w:t>
      </w:r>
      <w:r w:rsidR="00984461" w:rsidRPr="00A86E43">
        <w:rPr>
          <w:rFonts w:asciiTheme="minorHAnsi" w:hAnsiTheme="minorHAnsi" w:cstheme="minorHAnsi"/>
        </w:rPr>
        <w:t xml:space="preserve">r électronique </w:t>
      </w:r>
      <w:r w:rsidRPr="00A86E43">
        <w:rPr>
          <w:rFonts w:asciiTheme="minorHAnsi" w:hAnsiTheme="minorHAnsi" w:cstheme="minorHAnsi"/>
        </w:rPr>
        <w:t xml:space="preserve">au </w:t>
      </w:r>
      <w:r w:rsidR="00AA21AB" w:rsidRPr="003A0706">
        <w:rPr>
          <w:rFonts w:asciiTheme="minorHAnsi" w:hAnsiTheme="minorHAnsi" w:cstheme="minorHAnsi"/>
          <w:smallCaps/>
        </w:rPr>
        <w:t>Contractant</w:t>
      </w:r>
      <w:r w:rsidRPr="00A86E43">
        <w:rPr>
          <w:rFonts w:asciiTheme="minorHAnsi" w:hAnsiTheme="minorHAnsi" w:cstheme="minorHAnsi"/>
        </w:rPr>
        <w:t>.</w:t>
      </w:r>
    </w:p>
    <w:p w14:paraId="1F219002" w14:textId="5D385719" w:rsidR="00986B52" w:rsidRDefault="00986B52" w:rsidP="00ED6301">
      <w:pPr>
        <w:pStyle w:val="v"/>
        <w:widowControl w:val="0"/>
        <w:spacing w:before="120"/>
        <w:ind w:left="556" w:firstLine="0"/>
        <w:rPr>
          <w:rFonts w:asciiTheme="minorHAnsi" w:hAnsiTheme="minorHAnsi" w:cstheme="minorHAnsi"/>
        </w:rPr>
      </w:pPr>
    </w:p>
    <w:p w14:paraId="557238DE" w14:textId="5956BE52" w:rsidR="00986B52" w:rsidRDefault="00986B52" w:rsidP="00ED6301">
      <w:pPr>
        <w:pStyle w:val="v"/>
        <w:widowControl w:val="0"/>
        <w:spacing w:before="120"/>
        <w:ind w:left="556" w:firstLine="0"/>
        <w:rPr>
          <w:rFonts w:asciiTheme="minorHAnsi" w:hAnsiTheme="minorHAnsi" w:cstheme="minorHAnsi"/>
        </w:rPr>
      </w:pPr>
    </w:p>
    <w:p w14:paraId="6FD03637" w14:textId="77777777" w:rsidR="00986B52" w:rsidRPr="00A86E43" w:rsidRDefault="00986B52" w:rsidP="00ED6301">
      <w:pPr>
        <w:pStyle w:val="v"/>
        <w:widowControl w:val="0"/>
        <w:spacing w:before="120"/>
        <w:ind w:left="556" w:firstLine="0"/>
        <w:rPr>
          <w:rFonts w:asciiTheme="minorHAnsi" w:hAnsiTheme="minorHAnsi" w:cstheme="minorHAnsi"/>
        </w:rPr>
      </w:pP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5" w:name="_Toc126921977"/>
      <w:r w:rsidRPr="00A86E43">
        <w:rPr>
          <w:rFonts w:asciiTheme="minorHAnsi" w:hAnsiTheme="minorHAnsi"/>
          <w:b/>
          <w:caps/>
          <w:sz w:val="24"/>
          <w:u w:val="single"/>
        </w:rPr>
        <w:lastRenderedPageBreak/>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5"/>
    </w:p>
    <w:p w14:paraId="45132ED0" w14:textId="77777777" w:rsidR="00E849ED" w:rsidRPr="00A86E43" w:rsidRDefault="00E849ED" w:rsidP="0041382E">
      <w:pPr>
        <w:pStyle w:val="Titre2"/>
        <w:spacing w:before="120" w:after="60"/>
        <w:rPr>
          <w:rFonts w:asciiTheme="minorHAnsi" w:hAnsiTheme="minorHAnsi"/>
          <w:sz w:val="22"/>
        </w:rPr>
      </w:pPr>
      <w:bookmarkStart w:id="16" w:name="_Toc392669634"/>
      <w:bookmarkStart w:id="17" w:name="_Toc524095228"/>
      <w:bookmarkStart w:id="18" w:name="_Toc126921978"/>
      <w:r w:rsidRPr="00A86E43">
        <w:rPr>
          <w:rFonts w:asciiTheme="minorHAnsi" w:hAnsiTheme="minorHAnsi"/>
          <w:sz w:val="22"/>
        </w:rPr>
        <w:t>Montant du contrat</w:t>
      </w:r>
      <w:bookmarkEnd w:id="16"/>
      <w:bookmarkEnd w:id="17"/>
      <w:bookmarkEnd w:id="18"/>
    </w:p>
    <w:p w14:paraId="0398DEE5" w14:textId="3A60FA1E" w:rsidR="00123D1A" w:rsidRPr="00A86E43" w:rsidRDefault="00123D1A" w:rsidP="0089576F">
      <w:pPr>
        <w:pStyle w:val="u"/>
        <w:widowControl w:val="0"/>
        <w:numPr>
          <w:ilvl w:val="12"/>
          <w:numId w:val="0"/>
        </w:numPr>
        <w:jc w:val="left"/>
        <w:rPr>
          <w:rFonts w:asciiTheme="minorHAnsi" w:hAnsiTheme="minorHAnsi" w:cstheme="minorHAnsi"/>
          <w:szCs w:val="22"/>
        </w:rPr>
      </w:pPr>
    </w:p>
    <w:p w14:paraId="1AABAA4C" w14:textId="20AA9876" w:rsidR="008A0752" w:rsidRPr="00A86E43" w:rsidRDefault="008A0752" w:rsidP="00E26D16">
      <w:pPr>
        <w:pStyle w:val="u"/>
        <w:widowControl w:val="0"/>
        <w:numPr>
          <w:ilvl w:val="12"/>
          <w:numId w:val="0"/>
        </w:numPr>
        <w:ind w:left="561"/>
        <w:jc w:val="left"/>
        <w:rPr>
          <w:rFonts w:asciiTheme="minorHAnsi" w:hAnsiTheme="minorHAnsi" w:cstheme="minorHAnsi"/>
          <w:szCs w:val="22"/>
        </w:rPr>
      </w:pPr>
      <w:r w:rsidRPr="00A86E43">
        <w:rPr>
          <w:rFonts w:asciiTheme="minorHAnsi" w:hAnsiTheme="minorHAnsi" w:cstheme="minorHAnsi"/>
          <w:szCs w:val="22"/>
        </w:rPr>
        <w:t xml:space="preserve">Le montant maximal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w:t>
      </w:r>
      <w:r w:rsidRPr="00A86E43">
        <w:rPr>
          <w:rFonts w:asciiTheme="minorHAnsi" w:hAnsiTheme="minorHAnsi" w:cstheme="minorHAnsi"/>
          <w:szCs w:val="22"/>
        </w:rPr>
        <w:t xml:space="preserve"> € HT (hors taxe)</w:t>
      </w:r>
    </w:p>
    <w:p w14:paraId="46B0D471" w14:textId="77777777" w:rsidR="009C3F63" w:rsidRPr="00A86E43" w:rsidRDefault="008A0752" w:rsidP="00E15AB6">
      <w:pPr>
        <w:pStyle w:val="u"/>
        <w:widowControl w:val="0"/>
        <w:numPr>
          <w:ilvl w:val="12"/>
          <w:numId w:val="0"/>
        </w:numPr>
        <w:spacing w:before="240" w:after="240"/>
        <w:ind w:left="561"/>
        <w:rPr>
          <w:rFonts w:asciiTheme="minorHAnsi" w:hAnsiTheme="minorHAnsi" w:cstheme="minorHAnsi"/>
          <w:smallCaps/>
          <w:szCs w:val="22"/>
        </w:rPr>
      </w:pPr>
      <w:r w:rsidRPr="00A86E43">
        <w:rPr>
          <w:rFonts w:asciiTheme="minorHAnsi" w:hAnsiTheme="minorHAnsi" w:cstheme="minorHAnsi"/>
          <w:szCs w:val="22"/>
        </w:rPr>
        <w:t xml:space="preserve">Le montant maximal </w:t>
      </w:r>
      <w:r w:rsidR="00357B46" w:rsidRPr="00A86E43">
        <w:rPr>
          <w:rFonts w:asciiTheme="minorHAnsi" w:hAnsiTheme="minorHAnsi" w:cstheme="minorHAnsi"/>
          <w:szCs w:val="22"/>
        </w:rPr>
        <w:t>correspond au</w:t>
      </w:r>
      <w:r w:rsidRPr="00A86E43">
        <w:rPr>
          <w:rFonts w:asciiTheme="minorHAnsi" w:hAnsiTheme="minorHAnsi" w:cstheme="minorHAnsi"/>
          <w:szCs w:val="22"/>
        </w:rPr>
        <w:t xml:space="preserve"> plafond des montants cumulés des bons de commande passés au titre du présent </w:t>
      </w:r>
      <w:r w:rsidRPr="00A86E43">
        <w:rPr>
          <w:rFonts w:asciiTheme="minorHAnsi" w:hAnsiTheme="minorHAnsi" w:cstheme="minorHAnsi"/>
          <w:smallCaps/>
          <w:szCs w:val="22"/>
        </w:rPr>
        <w:t>Contrat.</w:t>
      </w:r>
    </w:p>
    <w:p w14:paraId="08D2BAB0" w14:textId="77777777" w:rsidR="009C3F63" w:rsidRPr="00A86E43" w:rsidRDefault="009C3F63" w:rsidP="00E15AB6">
      <w:pPr>
        <w:widowControl w:val="0"/>
        <w:numPr>
          <w:ilvl w:val="12"/>
          <w:numId w:val="0"/>
        </w:numPr>
        <w:overflowPunct w:val="0"/>
        <w:autoSpaceDE w:val="0"/>
        <w:autoSpaceDN w:val="0"/>
        <w:adjustRightInd w:val="0"/>
        <w:spacing w:before="240" w:after="120" w:line="240" w:lineRule="auto"/>
        <w:ind w:left="561"/>
        <w:jc w:val="both"/>
        <w:textAlignment w:val="baseline"/>
        <w:rPr>
          <w:rFonts w:asciiTheme="minorHAnsi" w:eastAsia="Times New Roman" w:hAnsiTheme="minorHAnsi" w:cstheme="minorHAnsi"/>
          <w:smallCaps/>
          <w:sz w:val="22"/>
          <w:szCs w:val="22"/>
        </w:rPr>
      </w:pPr>
      <w:r w:rsidRPr="00A86E43">
        <w:rPr>
          <w:rFonts w:asciiTheme="minorHAnsi" w:eastAsia="Times New Roman" w:hAnsiTheme="minorHAnsi" w:cstheme="minorHAnsi"/>
          <w:sz w:val="22"/>
          <w:szCs w:val="22"/>
        </w:rPr>
        <w:t xml:space="preserve">Le présent </w:t>
      </w:r>
      <w:r w:rsidRPr="00A86E43">
        <w:rPr>
          <w:rFonts w:asciiTheme="minorHAnsi" w:eastAsia="Times New Roman" w:hAnsiTheme="minorHAnsi" w:cstheme="minorHAnsi"/>
          <w:smallCaps/>
          <w:sz w:val="22"/>
          <w:szCs w:val="22"/>
        </w:rPr>
        <w:t xml:space="preserve">Contrat </w:t>
      </w:r>
      <w:r w:rsidRPr="00A86E43">
        <w:rPr>
          <w:rFonts w:asciiTheme="minorHAnsi" w:eastAsia="Times New Roman" w:hAnsiTheme="minorHAnsi" w:cstheme="minorHAnsi"/>
          <w:sz w:val="22"/>
          <w:szCs w:val="22"/>
        </w:rPr>
        <w:t xml:space="preserve">ne comporte pas de montant minimum. </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n’est donc engagée sur aucun niveau de commande minimal au titre du présent </w:t>
      </w:r>
      <w:r w:rsidRPr="00A86E43">
        <w:rPr>
          <w:rFonts w:asciiTheme="minorHAnsi" w:eastAsia="Times New Roman" w:hAnsiTheme="minorHAnsi" w:cstheme="minorHAnsi"/>
          <w:smallCaps/>
          <w:sz w:val="22"/>
          <w:szCs w:val="22"/>
        </w:rPr>
        <w:t>Contrat.</w:t>
      </w:r>
    </w:p>
    <w:p w14:paraId="175097EE" w14:textId="77777777" w:rsidR="00CD3DFE" w:rsidRPr="00A86E43" w:rsidRDefault="009C3F63" w:rsidP="00E15AB6">
      <w:pPr>
        <w:widowControl w:val="0"/>
        <w:numPr>
          <w:ilvl w:val="12"/>
          <w:numId w:val="0"/>
        </w:numPr>
        <w:overflowPunct w:val="0"/>
        <w:autoSpaceDE w:val="0"/>
        <w:autoSpaceDN w:val="0"/>
        <w:adjustRightInd w:val="0"/>
        <w:spacing w:after="120" w:line="240" w:lineRule="auto"/>
        <w:ind w:left="561"/>
        <w:jc w:val="both"/>
        <w:textAlignment w:val="baseline"/>
        <w:rPr>
          <w:rFonts w:asciiTheme="minorHAnsi" w:hAnsiTheme="minorHAnsi" w:cstheme="minorHAnsi"/>
          <w:sz w:val="22"/>
          <w:szCs w:val="22"/>
        </w:rPr>
      </w:pPr>
      <w:r w:rsidRPr="00A86E43">
        <w:rPr>
          <w:rFonts w:asciiTheme="minorHAnsi" w:hAnsiTheme="minorHAnsi" w:cstheme="minorHAnsi"/>
          <w:sz w:val="22"/>
          <w:szCs w:val="22"/>
        </w:rPr>
        <w:t xml:space="preserve">Le </w:t>
      </w:r>
      <w:r w:rsidR="008743D9" w:rsidRPr="00A86E43">
        <w:rPr>
          <w:rFonts w:asciiTheme="minorHAnsi" w:hAnsiTheme="minorHAnsi" w:cstheme="minorHAnsi"/>
          <w:sz w:val="22"/>
          <w:szCs w:val="22"/>
        </w:rPr>
        <w:t>montant</w:t>
      </w:r>
      <w:r w:rsidRPr="00A86E43">
        <w:rPr>
          <w:rFonts w:asciiTheme="minorHAnsi" w:hAnsiTheme="minorHAnsi" w:cstheme="minorHAnsi"/>
          <w:sz w:val="22"/>
          <w:szCs w:val="22"/>
        </w:rPr>
        <w:t xml:space="preserve"> de chaque </w:t>
      </w:r>
      <w:r w:rsidR="00C13716" w:rsidRPr="00A86E43">
        <w:rPr>
          <w:rFonts w:asciiTheme="minorHAnsi" w:hAnsiTheme="minorHAnsi" w:cstheme="minorHAnsi"/>
          <w:sz w:val="22"/>
          <w:szCs w:val="22"/>
        </w:rPr>
        <w:t>bon de commande</w:t>
      </w:r>
      <w:r w:rsidRPr="00A86E43">
        <w:rPr>
          <w:rFonts w:asciiTheme="minorHAnsi" w:hAnsiTheme="minorHAnsi" w:cstheme="minorHAnsi"/>
          <w:sz w:val="22"/>
          <w:szCs w:val="22"/>
        </w:rPr>
        <w:t xml:space="preserve"> correspond au montant qu’</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s’engage à payer après validation sans réserve de l’ensemble des fournitures et/ou des prestations correspondantes. </w:t>
      </w:r>
      <w:r w:rsidR="000C5E22" w:rsidRPr="00A86E43">
        <w:rPr>
          <w:rFonts w:asciiTheme="minorHAnsi" w:hAnsiTheme="minorHAnsi" w:cstheme="minorHAnsi"/>
          <w:sz w:val="22"/>
          <w:szCs w:val="22"/>
        </w:rPr>
        <w:t>Ce montant</w:t>
      </w:r>
      <w:r w:rsidR="00CD3DFE" w:rsidRPr="00A86E43">
        <w:rPr>
          <w:rFonts w:asciiTheme="minorHAnsi" w:hAnsiTheme="minorHAnsi" w:cstheme="minorHAnsi"/>
          <w:sz w:val="22"/>
          <w:szCs w:val="22"/>
        </w:rPr>
        <w:t xml:space="preserve"> est calculé sur la base des prix unitaires indiqués au bordereau des prix unitaires ci-dessous</w:t>
      </w:r>
      <w:r w:rsidRPr="00A86E43">
        <w:rPr>
          <w:rFonts w:asciiTheme="minorHAnsi" w:hAnsiTheme="minorHAnsi" w:cstheme="minorHAnsi"/>
          <w:sz w:val="22"/>
          <w:szCs w:val="22"/>
        </w:rPr>
        <w:t xml:space="preserve"> </w:t>
      </w:r>
      <w:r w:rsidR="00CD3DFE" w:rsidRPr="00A86E43">
        <w:rPr>
          <w:rFonts w:asciiTheme="minorHAnsi" w:hAnsiTheme="minorHAnsi" w:cstheme="minorHAnsi"/>
          <w:sz w:val="22"/>
          <w:szCs w:val="22"/>
        </w:rPr>
        <w:t xml:space="preserve">appliqués aux quantités commandées. Il </w:t>
      </w:r>
      <w:r w:rsidRPr="00A86E43">
        <w:rPr>
          <w:rFonts w:asciiTheme="minorHAnsi" w:hAnsiTheme="minorHAnsi" w:cstheme="minorHAnsi"/>
          <w:sz w:val="22"/>
          <w:szCs w:val="22"/>
        </w:rPr>
        <w:t>inclu</w:t>
      </w:r>
      <w:r w:rsidR="000C5E22" w:rsidRPr="00A86E43">
        <w:rPr>
          <w:rFonts w:asciiTheme="minorHAnsi" w:hAnsiTheme="minorHAnsi" w:cstheme="minorHAnsi"/>
          <w:sz w:val="22"/>
          <w:szCs w:val="22"/>
        </w:rPr>
        <w:t>t</w:t>
      </w:r>
      <w:r w:rsidRPr="00A86E43">
        <w:rPr>
          <w:rFonts w:asciiTheme="minorHAnsi" w:hAnsiTheme="minorHAnsi" w:cstheme="minorHAnsi"/>
          <w:sz w:val="22"/>
          <w:szCs w:val="22"/>
        </w:rPr>
        <w:t xml:space="preserve"> l’ensemble des frais liés à l’exécution des prestations et à la livraison des fournitures correspondantes.</w:t>
      </w:r>
    </w:p>
    <w:tbl>
      <w:tblPr>
        <w:tblStyle w:val="Grilledutableau"/>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693"/>
        <w:gridCol w:w="2126"/>
      </w:tblGrid>
      <w:tr w:rsidR="00986B52" w:rsidRPr="00A86E43" w14:paraId="44E191D1" w14:textId="77777777" w:rsidTr="00986B52">
        <w:trPr>
          <w:jc w:val="center"/>
        </w:trPr>
        <w:tc>
          <w:tcPr>
            <w:tcW w:w="2693" w:type="dxa"/>
            <w:vAlign w:val="center"/>
          </w:tcPr>
          <w:p w14:paraId="09E13C76" w14:textId="0DC88744" w:rsidR="00986B52" w:rsidRPr="00A86E43" w:rsidRDefault="00986B52" w:rsidP="00986B52">
            <w:pPr>
              <w:pStyle w:val="u"/>
              <w:widowControl w:val="0"/>
              <w:numPr>
                <w:ilvl w:val="12"/>
                <w:numId w:val="0"/>
              </w:numPr>
              <w:jc w:val="left"/>
              <w:rPr>
                <w:rFonts w:asciiTheme="minorHAnsi" w:hAnsiTheme="minorHAnsi" w:cstheme="minorHAnsi"/>
                <w:b/>
                <w:szCs w:val="22"/>
              </w:rPr>
            </w:pPr>
            <w:r w:rsidRPr="00A86E43">
              <w:rPr>
                <w:rFonts w:asciiTheme="minorHAnsi" w:hAnsiTheme="minorHAnsi" w:cstheme="minorHAnsi"/>
                <w:b/>
                <w:szCs w:val="22"/>
              </w:rPr>
              <w:t xml:space="preserve">Catégories de dépense du </w:t>
            </w:r>
            <w:r>
              <w:rPr>
                <w:rFonts w:asciiTheme="minorHAnsi" w:hAnsiTheme="minorHAnsi" w:cstheme="minorHAnsi"/>
                <w:b/>
                <w:szCs w:val="22"/>
              </w:rPr>
              <w:t>bons de commande</w:t>
            </w:r>
          </w:p>
        </w:tc>
        <w:tc>
          <w:tcPr>
            <w:tcW w:w="2126" w:type="dxa"/>
            <w:vAlign w:val="center"/>
          </w:tcPr>
          <w:p w14:paraId="20D93AC9" w14:textId="77777777" w:rsidR="00986B52" w:rsidRPr="00A86E43" w:rsidRDefault="00986B52" w:rsidP="00B75D63">
            <w:pPr>
              <w:pStyle w:val="u"/>
              <w:widowControl w:val="0"/>
              <w:numPr>
                <w:ilvl w:val="12"/>
                <w:numId w:val="0"/>
              </w:numPr>
              <w:jc w:val="center"/>
              <w:rPr>
                <w:rFonts w:asciiTheme="minorHAnsi" w:hAnsiTheme="minorHAnsi" w:cstheme="minorHAnsi"/>
                <w:b/>
                <w:szCs w:val="22"/>
              </w:rPr>
            </w:pPr>
            <w:r w:rsidRPr="00A86E43">
              <w:rPr>
                <w:rFonts w:asciiTheme="minorHAnsi" w:hAnsiTheme="minorHAnsi" w:cstheme="minorHAnsi"/>
                <w:b/>
                <w:szCs w:val="22"/>
              </w:rPr>
              <w:t xml:space="preserve">Prix unitaires </w:t>
            </w:r>
            <w:r w:rsidRPr="00A86E43">
              <w:rPr>
                <w:rFonts w:asciiTheme="minorHAnsi" w:hAnsiTheme="minorHAnsi" w:cstheme="minorHAnsi"/>
                <w:b/>
                <w:szCs w:val="22"/>
              </w:rPr>
              <w:br/>
              <w:t>€ HT</w:t>
            </w:r>
          </w:p>
        </w:tc>
      </w:tr>
      <w:tr w:rsidR="00986B52" w:rsidRPr="00A86E43" w14:paraId="59DCA87A" w14:textId="77777777" w:rsidTr="00986B52">
        <w:trPr>
          <w:jc w:val="center"/>
        </w:trPr>
        <w:tc>
          <w:tcPr>
            <w:tcW w:w="2693" w:type="dxa"/>
            <w:vAlign w:val="bottom"/>
          </w:tcPr>
          <w:p w14:paraId="1CA3E4FB" w14:textId="50887D78" w:rsidR="00986B52" w:rsidRPr="00A86E43" w:rsidRDefault="00986B52" w:rsidP="00986B52">
            <w:pPr>
              <w:pStyle w:val="u"/>
              <w:widowControl w:val="0"/>
              <w:numPr>
                <w:ilvl w:val="12"/>
                <w:numId w:val="0"/>
              </w:numPr>
              <w:jc w:val="left"/>
              <w:rPr>
                <w:rFonts w:asciiTheme="minorHAnsi" w:hAnsiTheme="minorHAnsi" w:cstheme="minorHAnsi"/>
                <w:szCs w:val="22"/>
                <w:highlight w:val="yellow"/>
              </w:rPr>
            </w:pPr>
            <w:r w:rsidRPr="007C0EFD">
              <w:rPr>
                <w:rFonts w:ascii="Calibri" w:hAnsi="Calibri" w:cs="Calibri"/>
                <w:color w:val="000000"/>
                <w:szCs w:val="22"/>
              </w:rPr>
              <w:t>Chef de projet</w:t>
            </w:r>
          </w:p>
        </w:tc>
        <w:tc>
          <w:tcPr>
            <w:tcW w:w="2126" w:type="dxa"/>
            <w:vAlign w:val="center"/>
          </w:tcPr>
          <w:p w14:paraId="569433CB" w14:textId="77777777" w:rsidR="00986B52" w:rsidRPr="00A86E43" w:rsidRDefault="00986B52" w:rsidP="00986B52">
            <w:pPr>
              <w:pStyle w:val="u"/>
              <w:widowControl w:val="0"/>
              <w:numPr>
                <w:ilvl w:val="12"/>
                <w:numId w:val="0"/>
              </w:numPr>
              <w:jc w:val="center"/>
              <w:rPr>
                <w:rFonts w:asciiTheme="minorHAnsi" w:hAnsiTheme="minorHAnsi" w:cstheme="minorHAnsi"/>
                <w:szCs w:val="22"/>
                <w:highlight w:val="yellow"/>
              </w:rPr>
            </w:pPr>
          </w:p>
        </w:tc>
      </w:tr>
      <w:tr w:rsidR="00986B52" w:rsidRPr="00A86E43" w14:paraId="5E964588" w14:textId="77777777" w:rsidTr="00986B52">
        <w:trPr>
          <w:jc w:val="center"/>
        </w:trPr>
        <w:tc>
          <w:tcPr>
            <w:tcW w:w="2693" w:type="dxa"/>
            <w:vAlign w:val="bottom"/>
          </w:tcPr>
          <w:p w14:paraId="4463FFD6" w14:textId="1F424148" w:rsidR="00986B52" w:rsidRPr="00A86E43" w:rsidRDefault="00986B52" w:rsidP="00986B52">
            <w:pPr>
              <w:pStyle w:val="u"/>
              <w:widowControl w:val="0"/>
              <w:numPr>
                <w:ilvl w:val="12"/>
                <w:numId w:val="0"/>
              </w:numPr>
              <w:jc w:val="left"/>
              <w:rPr>
                <w:rFonts w:asciiTheme="minorHAnsi" w:hAnsiTheme="minorHAnsi" w:cstheme="minorHAnsi"/>
                <w:szCs w:val="22"/>
                <w:highlight w:val="yellow"/>
              </w:rPr>
            </w:pPr>
            <w:r w:rsidRPr="007C0EFD">
              <w:rPr>
                <w:rFonts w:ascii="Calibri" w:hAnsi="Calibri" w:cs="Calibri"/>
                <w:color w:val="000000"/>
                <w:szCs w:val="22"/>
              </w:rPr>
              <w:t>Expert senior international</w:t>
            </w:r>
          </w:p>
        </w:tc>
        <w:tc>
          <w:tcPr>
            <w:tcW w:w="2126" w:type="dxa"/>
            <w:vAlign w:val="center"/>
          </w:tcPr>
          <w:p w14:paraId="4B5A8A03" w14:textId="77777777" w:rsidR="00986B52" w:rsidRPr="00A86E43" w:rsidRDefault="00986B52" w:rsidP="00986B52">
            <w:pPr>
              <w:pStyle w:val="u"/>
              <w:widowControl w:val="0"/>
              <w:numPr>
                <w:ilvl w:val="12"/>
                <w:numId w:val="0"/>
              </w:numPr>
              <w:jc w:val="center"/>
              <w:rPr>
                <w:rFonts w:asciiTheme="minorHAnsi" w:hAnsiTheme="minorHAnsi" w:cstheme="minorHAnsi"/>
                <w:szCs w:val="22"/>
                <w:highlight w:val="yellow"/>
              </w:rPr>
            </w:pPr>
          </w:p>
        </w:tc>
      </w:tr>
      <w:tr w:rsidR="00986B52" w:rsidRPr="00A86E43" w14:paraId="653B265C" w14:textId="77777777" w:rsidTr="00986B52">
        <w:trPr>
          <w:jc w:val="center"/>
        </w:trPr>
        <w:tc>
          <w:tcPr>
            <w:tcW w:w="2693" w:type="dxa"/>
            <w:vAlign w:val="bottom"/>
          </w:tcPr>
          <w:p w14:paraId="4A0F4460" w14:textId="4BCF3515" w:rsidR="00986B52" w:rsidRPr="00A86E43" w:rsidRDefault="00986B52" w:rsidP="00986B52">
            <w:pPr>
              <w:pStyle w:val="u"/>
              <w:widowControl w:val="0"/>
              <w:numPr>
                <w:ilvl w:val="12"/>
                <w:numId w:val="0"/>
              </w:numPr>
              <w:jc w:val="left"/>
              <w:rPr>
                <w:rFonts w:asciiTheme="minorHAnsi" w:hAnsiTheme="minorHAnsi" w:cstheme="minorHAnsi"/>
                <w:szCs w:val="22"/>
                <w:highlight w:val="yellow"/>
              </w:rPr>
            </w:pPr>
            <w:r w:rsidRPr="007C0EFD">
              <w:rPr>
                <w:rFonts w:ascii="Calibri" w:hAnsi="Calibri" w:cs="Calibri"/>
                <w:color w:val="000000"/>
                <w:szCs w:val="22"/>
              </w:rPr>
              <w:t>Expert senior résident</w:t>
            </w:r>
          </w:p>
        </w:tc>
        <w:tc>
          <w:tcPr>
            <w:tcW w:w="2126" w:type="dxa"/>
            <w:vAlign w:val="center"/>
          </w:tcPr>
          <w:p w14:paraId="46BEFB21" w14:textId="77777777" w:rsidR="00986B52" w:rsidRPr="00A86E43" w:rsidRDefault="00986B52" w:rsidP="00986B52">
            <w:pPr>
              <w:pStyle w:val="u"/>
              <w:widowControl w:val="0"/>
              <w:numPr>
                <w:ilvl w:val="12"/>
                <w:numId w:val="0"/>
              </w:numPr>
              <w:jc w:val="center"/>
              <w:rPr>
                <w:rFonts w:asciiTheme="minorHAnsi" w:hAnsiTheme="minorHAnsi" w:cstheme="minorHAnsi"/>
                <w:szCs w:val="22"/>
                <w:highlight w:val="yellow"/>
              </w:rPr>
            </w:pPr>
          </w:p>
        </w:tc>
      </w:tr>
      <w:tr w:rsidR="00986B52" w:rsidRPr="00A86E43" w14:paraId="5440976A" w14:textId="77777777" w:rsidTr="00986B52">
        <w:trPr>
          <w:jc w:val="center"/>
        </w:trPr>
        <w:tc>
          <w:tcPr>
            <w:tcW w:w="2693" w:type="dxa"/>
            <w:vAlign w:val="bottom"/>
          </w:tcPr>
          <w:p w14:paraId="013843DD" w14:textId="67343CDF" w:rsidR="00986B52" w:rsidRPr="00A86E43" w:rsidRDefault="00986B52" w:rsidP="00986B52">
            <w:pPr>
              <w:pStyle w:val="u"/>
              <w:widowControl w:val="0"/>
              <w:numPr>
                <w:ilvl w:val="12"/>
                <w:numId w:val="0"/>
              </w:numPr>
              <w:jc w:val="left"/>
              <w:rPr>
                <w:rFonts w:asciiTheme="minorHAnsi" w:hAnsiTheme="minorHAnsi" w:cstheme="minorHAnsi"/>
                <w:szCs w:val="22"/>
                <w:highlight w:val="yellow"/>
              </w:rPr>
            </w:pPr>
            <w:r w:rsidRPr="007C0EFD">
              <w:rPr>
                <w:rFonts w:ascii="Calibri" w:hAnsi="Calibri" w:cs="Calibri"/>
                <w:color w:val="000000"/>
                <w:szCs w:val="22"/>
              </w:rPr>
              <w:t>Expert junior international</w:t>
            </w:r>
          </w:p>
        </w:tc>
        <w:tc>
          <w:tcPr>
            <w:tcW w:w="2126" w:type="dxa"/>
            <w:vAlign w:val="center"/>
          </w:tcPr>
          <w:p w14:paraId="66902C35" w14:textId="77777777" w:rsidR="00986B52" w:rsidRPr="00A86E43" w:rsidRDefault="00986B52" w:rsidP="00986B52">
            <w:pPr>
              <w:pStyle w:val="u"/>
              <w:widowControl w:val="0"/>
              <w:numPr>
                <w:ilvl w:val="12"/>
                <w:numId w:val="0"/>
              </w:numPr>
              <w:jc w:val="center"/>
              <w:rPr>
                <w:rFonts w:asciiTheme="minorHAnsi" w:hAnsiTheme="minorHAnsi" w:cstheme="minorHAnsi"/>
                <w:szCs w:val="22"/>
                <w:highlight w:val="yellow"/>
              </w:rPr>
            </w:pPr>
          </w:p>
        </w:tc>
      </w:tr>
      <w:tr w:rsidR="00986B52" w:rsidRPr="00A86E43" w14:paraId="762FB1D9" w14:textId="77777777" w:rsidTr="00986B52">
        <w:trPr>
          <w:jc w:val="center"/>
        </w:trPr>
        <w:tc>
          <w:tcPr>
            <w:tcW w:w="2693" w:type="dxa"/>
            <w:vAlign w:val="bottom"/>
          </w:tcPr>
          <w:p w14:paraId="4CFD94F3" w14:textId="5A101379" w:rsidR="00986B52" w:rsidRPr="00A86E43" w:rsidRDefault="00986B52" w:rsidP="00986B52">
            <w:pPr>
              <w:pStyle w:val="u"/>
              <w:widowControl w:val="0"/>
              <w:numPr>
                <w:ilvl w:val="12"/>
                <w:numId w:val="0"/>
              </w:numPr>
              <w:jc w:val="left"/>
              <w:rPr>
                <w:rFonts w:asciiTheme="minorHAnsi" w:hAnsiTheme="minorHAnsi" w:cstheme="minorHAnsi"/>
                <w:szCs w:val="22"/>
                <w:highlight w:val="yellow"/>
              </w:rPr>
            </w:pPr>
            <w:r w:rsidRPr="007C0EFD">
              <w:rPr>
                <w:rFonts w:ascii="Calibri" w:hAnsi="Calibri" w:cs="Calibri"/>
                <w:color w:val="000000"/>
                <w:szCs w:val="22"/>
              </w:rPr>
              <w:t>Expert junior résident</w:t>
            </w:r>
          </w:p>
        </w:tc>
        <w:tc>
          <w:tcPr>
            <w:tcW w:w="2126" w:type="dxa"/>
            <w:vAlign w:val="center"/>
          </w:tcPr>
          <w:p w14:paraId="37480725" w14:textId="77777777" w:rsidR="00986B52" w:rsidRPr="00A86E43" w:rsidRDefault="00986B52" w:rsidP="00986B52">
            <w:pPr>
              <w:pStyle w:val="u"/>
              <w:widowControl w:val="0"/>
              <w:numPr>
                <w:ilvl w:val="12"/>
                <w:numId w:val="0"/>
              </w:numPr>
              <w:jc w:val="center"/>
              <w:rPr>
                <w:rFonts w:asciiTheme="minorHAnsi" w:hAnsiTheme="minorHAnsi" w:cstheme="minorHAnsi"/>
                <w:szCs w:val="22"/>
                <w:highlight w:val="yellow"/>
              </w:rPr>
            </w:pPr>
          </w:p>
        </w:tc>
      </w:tr>
    </w:tbl>
    <w:p w14:paraId="3D0E8AFB" w14:textId="77777777" w:rsidR="000A6D39" w:rsidRPr="00A86E43" w:rsidRDefault="000A6D39" w:rsidP="000A6D39">
      <w:pPr>
        <w:pStyle w:val="Titre2"/>
        <w:spacing w:before="120" w:after="60"/>
        <w:rPr>
          <w:rFonts w:asciiTheme="minorHAnsi" w:hAnsiTheme="minorHAnsi"/>
          <w:sz w:val="22"/>
        </w:rPr>
      </w:pPr>
      <w:bookmarkStart w:id="19" w:name="_Toc126921979"/>
      <w:bookmarkStart w:id="20" w:name="_Toc392669637"/>
      <w:r w:rsidRPr="00A86E43">
        <w:rPr>
          <w:rFonts w:asciiTheme="minorHAnsi" w:hAnsiTheme="minorHAnsi"/>
          <w:sz w:val="22"/>
        </w:rPr>
        <w:t>Forme des prix</w:t>
      </w:r>
      <w:bookmarkEnd w:id="19"/>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1" w:name="_Toc126921980"/>
      <w:r w:rsidRPr="00A86E43">
        <w:rPr>
          <w:rFonts w:asciiTheme="minorHAnsi" w:hAnsiTheme="minorHAnsi"/>
          <w:sz w:val="22"/>
        </w:rPr>
        <w:t>Avance</w:t>
      </w:r>
      <w:bookmarkEnd w:id="21"/>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2" w:name="_Toc126921981"/>
      <w:r w:rsidRPr="00A86E43">
        <w:rPr>
          <w:rFonts w:asciiTheme="minorHAnsi" w:hAnsiTheme="minorHAnsi"/>
          <w:sz w:val="22"/>
        </w:rPr>
        <w:t>Modalités de paiement</w:t>
      </w:r>
      <w:bookmarkEnd w:id="22"/>
    </w:p>
    <w:p w14:paraId="6A2DA352"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73DF7DD7"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Des acomptes périodiques trimestriels pourront être versés au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Le montant de ces acomptes ne pourra dépasser la valeur </w:t>
      </w:r>
      <w:r w:rsidR="00247935" w:rsidRPr="00A86E43">
        <w:rPr>
          <w:rFonts w:asciiTheme="minorHAnsi" w:hAnsiTheme="minorHAnsi" w:cs="Arial"/>
          <w:szCs w:val="22"/>
        </w:rPr>
        <w:t xml:space="preserve">des prestations </w:t>
      </w:r>
      <w:r w:rsidRPr="00A86E43">
        <w:rPr>
          <w:rFonts w:asciiTheme="minorHAnsi" w:hAnsiTheme="minorHAnsi" w:cs="Arial"/>
          <w:szCs w:val="22"/>
        </w:rPr>
        <w:t>effectué</w:t>
      </w:r>
      <w:r w:rsidR="00247935" w:rsidRPr="00A86E43">
        <w:rPr>
          <w:rFonts w:asciiTheme="minorHAnsi" w:hAnsiTheme="minorHAnsi" w:cs="Arial"/>
          <w:szCs w:val="22"/>
        </w:rPr>
        <w:t>es</w:t>
      </w:r>
      <w:r w:rsidRPr="00A86E43">
        <w:rPr>
          <w:rFonts w:asciiTheme="minorHAnsi" w:hAnsiTheme="minorHAnsi" w:cs="Arial"/>
          <w:szCs w:val="22"/>
        </w:rPr>
        <w:t xml:space="preserve"> par </w:t>
      </w:r>
      <w:r w:rsidR="00247935" w:rsidRPr="00A86E43">
        <w:rPr>
          <w:rFonts w:asciiTheme="minorHAnsi" w:hAnsiTheme="minorHAnsi" w:cs="Arial"/>
          <w:szCs w:val="22"/>
        </w:rPr>
        <w:t xml:space="preserve">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et validé</w:t>
      </w:r>
      <w:r w:rsidR="00247935" w:rsidRPr="00A86E43">
        <w:rPr>
          <w:rFonts w:asciiTheme="minorHAnsi" w:hAnsiTheme="minorHAnsi" w:cs="Arial"/>
          <w:szCs w:val="22"/>
        </w:rPr>
        <w:t>es</w:t>
      </w:r>
      <w:r w:rsidRPr="00A86E43">
        <w:rPr>
          <w:rFonts w:asciiTheme="minorHAnsi" w:hAnsiTheme="minorHAnsi" w:cs="Arial"/>
          <w:szCs w:val="22"/>
        </w:rPr>
        <w:t xml:space="preserve"> par</w:t>
      </w:r>
      <w:r w:rsidR="003061E8" w:rsidRPr="00A86E43">
        <w:rPr>
          <w:rFonts w:asciiTheme="minorHAnsi" w:hAnsiTheme="minorHAnsi" w:cs="Arial"/>
          <w:szCs w:val="22"/>
        </w:rPr>
        <w:t xml:space="preserve"> </w:t>
      </w:r>
      <w:r w:rsidR="00CE73DB" w:rsidRPr="00CE73DB">
        <w:rPr>
          <w:rFonts w:asciiTheme="minorHAnsi" w:hAnsiTheme="minorHAnsi" w:cs="Arial"/>
          <w:smallCaps/>
          <w:szCs w:val="22"/>
        </w:rPr>
        <w:t>Expertise France</w:t>
      </w:r>
      <w:r w:rsidRPr="00A86E43">
        <w:rPr>
          <w:rFonts w:asciiTheme="minorHAnsi" w:hAnsiTheme="minorHAnsi" w:cs="Arial"/>
          <w:szCs w:val="22"/>
        </w:rPr>
        <w:t>.</w:t>
      </w:r>
    </w:p>
    <w:p w14:paraId="5FEBA760" w14:textId="77777777" w:rsidR="00E637E0" w:rsidRPr="00A86E43" w:rsidRDefault="00E637E0"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La périodicité du versement des acomptes pourra être ramenée à 1 mois à la demande du </w:t>
      </w:r>
      <w:r w:rsidR="00AA21AB" w:rsidRPr="003A0706">
        <w:rPr>
          <w:rFonts w:asciiTheme="minorHAnsi" w:hAnsiTheme="minorHAnsi" w:cs="Arial"/>
          <w:smallCaps/>
          <w:szCs w:val="22"/>
        </w:rPr>
        <w:t>Contractant</w:t>
      </w:r>
      <w:r w:rsidR="00234430" w:rsidRPr="00A86E43">
        <w:rPr>
          <w:rFonts w:asciiTheme="minorHAnsi" w:hAnsiTheme="minorHAnsi" w:cs="Arial"/>
          <w:szCs w:val="22"/>
        </w:rPr>
        <w:t>.</w:t>
      </w:r>
    </w:p>
    <w:p w14:paraId="6E80FAE5" w14:textId="4AAB326E" w:rsidR="00004AE6" w:rsidRPr="00A86E43" w:rsidRDefault="00004AE6" w:rsidP="00986B5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sidR="00986B52">
        <w:rPr>
          <w:rFonts w:asciiTheme="minorHAnsi" w:hAnsiTheme="minorHAnsi" w:cs="Arial"/>
          <w:szCs w:val="22"/>
        </w:rPr>
        <w:t xml:space="preserve"> </w:t>
      </w:r>
      <w:r w:rsidR="00D830F2" w:rsidRPr="00A86E43">
        <w:rPr>
          <w:rFonts w:asciiTheme="minorHAnsi" w:hAnsiTheme="minorHAnsi" w:cs="Arial"/>
          <w:szCs w:val="22"/>
        </w:rPr>
        <w:t>du contrat</w:t>
      </w:r>
      <w:r w:rsidR="00986B52">
        <w:rPr>
          <w:rFonts w:asciiTheme="minorHAnsi" w:hAnsiTheme="minorHAnsi" w:cs="Arial"/>
          <w:szCs w:val="22"/>
        </w:rPr>
        <w:t>.</w:t>
      </w:r>
    </w:p>
    <w:p w14:paraId="6526080B" w14:textId="77777777" w:rsidR="007B473C" w:rsidRPr="00A86E43" w:rsidRDefault="007B473C" w:rsidP="00D830F2">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00AA21AB"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lastRenderedPageBreak/>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20"/>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43C94E86" w:rsidR="00F766D6" w:rsidRPr="00A86E43" w:rsidRDefault="00F766D6" w:rsidP="00986B52">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986B52">
        <w:rPr>
          <w:rFonts w:asciiTheme="minorHAnsi" w:hAnsiTheme="minorHAnsi" w:cstheme="minorHAnsi"/>
          <w:szCs w:val="22"/>
        </w:rPr>
        <w:t>au chapitre 5 du CCAG-</w:t>
      </w:r>
      <w:r w:rsidR="005A362A" w:rsidRPr="00A86E43">
        <w:rPr>
          <w:rFonts w:asciiTheme="minorHAnsi" w:hAnsiTheme="minorHAnsi" w:cstheme="minorHAnsi"/>
          <w:szCs w:val="22"/>
        </w:rPr>
        <w:t>PI</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5A362A" w:rsidRPr="00A86E43">
        <w:rPr>
          <w:rFonts w:asciiTheme="minorHAnsi" w:hAnsiTheme="minorHAnsi" w:cstheme="minorHAnsi"/>
          <w:szCs w:val="22"/>
        </w:rPr>
        <w:t>PI</w:t>
      </w:r>
      <w:r w:rsidRPr="00A86E43">
        <w:rPr>
          <w:rFonts w:asciiTheme="minorHAnsi" w:hAnsiTheme="minorHAnsi" w:cstheme="minorHAnsi"/>
          <w:szCs w:val="22"/>
        </w:rPr>
        <w:t>, les opérations de vérification seront effectuées par :</w:t>
      </w:r>
    </w:p>
    <w:p w14:paraId="10B6A458" w14:textId="77777777" w:rsidR="00692CAB" w:rsidRDefault="00692CAB" w:rsidP="00692CAB">
      <w:pPr>
        <w:pStyle w:val="u"/>
        <w:widowControl w:val="0"/>
        <w:numPr>
          <w:ilvl w:val="0"/>
          <w:numId w:val="11"/>
        </w:numPr>
        <w:rPr>
          <w:rFonts w:asciiTheme="minorHAnsi" w:hAnsiTheme="minorHAnsi" w:cstheme="minorHAnsi"/>
          <w:szCs w:val="22"/>
        </w:rPr>
      </w:pPr>
      <w:bookmarkStart w:id="34" w:name="_Toc390691470"/>
      <w:bookmarkStart w:id="35" w:name="_Toc392669641"/>
      <w:bookmarkStart w:id="36" w:name="_Toc126921989"/>
      <w:r>
        <w:rPr>
          <w:rFonts w:asciiTheme="minorHAnsi" w:hAnsiTheme="minorHAnsi" w:cstheme="minorHAnsi"/>
          <w:szCs w:val="22"/>
        </w:rPr>
        <w:t>Emin TURKI</w:t>
      </w:r>
    </w:p>
    <w:p w14:paraId="49CB7BF1" w14:textId="77777777" w:rsidR="00692CAB" w:rsidRPr="00A86E43" w:rsidRDefault="00692CAB" w:rsidP="00692CAB">
      <w:pPr>
        <w:pStyle w:val="u"/>
        <w:widowControl w:val="0"/>
        <w:ind w:left="1428"/>
        <w:rPr>
          <w:rFonts w:asciiTheme="minorHAnsi" w:hAnsiTheme="minorHAnsi" w:cstheme="minorHAnsi"/>
          <w:szCs w:val="22"/>
        </w:rPr>
      </w:pPr>
      <w:r>
        <w:rPr>
          <w:rFonts w:asciiTheme="minorHAnsi" w:hAnsiTheme="minorHAnsi" w:cstheme="minorHAnsi"/>
          <w:szCs w:val="22"/>
        </w:rPr>
        <w:lastRenderedPageBreak/>
        <w:t>Responsable technique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715AC7D6"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B73974" w:rsidRPr="00A86E43">
        <w:rPr>
          <w:rFonts w:asciiTheme="minorHAnsi" w:hAnsiTheme="minorHAnsi" w:cstheme="minorHAnsi"/>
          <w:szCs w:val="22"/>
        </w:rPr>
        <w:t>PI</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6FE10299" w14:textId="77777777" w:rsidR="00692CAB" w:rsidRDefault="00692CAB" w:rsidP="00692CAB">
      <w:pPr>
        <w:pStyle w:val="u"/>
        <w:widowControl w:val="0"/>
        <w:numPr>
          <w:ilvl w:val="0"/>
          <w:numId w:val="11"/>
        </w:numPr>
        <w:rPr>
          <w:rFonts w:asciiTheme="minorHAnsi" w:hAnsiTheme="minorHAnsi" w:cstheme="minorHAnsi"/>
          <w:szCs w:val="22"/>
        </w:rPr>
      </w:pPr>
      <w:r>
        <w:rPr>
          <w:rFonts w:asciiTheme="minorHAnsi" w:hAnsiTheme="minorHAnsi" w:cstheme="minorHAnsi"/>
          <w:szCs w:val="22"/>
        </w:rPr>
        <w:t>Pauline LECOINTE</w:t>
      </w:r>
    </w:p>
    <w:p w14:paraId="262D9607" w14:textId="77777777" w:rsidR="00692CAB" w:rsidRPr="00A86E43" w:rsidRDefault="00692CAB" w:rsidP="00692CAB">
      <w:pPr>
        <w:pStyle w:val="u"/>
        <w:widowControl w:val="0"/>
        <w:ind w:left="1428"/>
        <w:rPr>
          <w:rFonts w:asciiTheme="minorHAnsi" w:hAnsiTheme="minorHAnsi" w:cstheme="minorHAnsi"/>
          <w:szCs w:val="22"/>
        </w:rPr>
      </w:pPr>
      <w:r>
        <w:rPr>
          <w:rFonts w:asciiTheme="minorHAnsi" w:hAnsiTheme="minorHAnsi" w:cstheme="minorHAnsi"/>
          <w:szCs w:val="22"/>
        </w:rPr>
        <w:t>Coordinatrice de projet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38" w:name="_Toc392669642"/>
      <w:bookmarkStart w:id="39" w:name="_Toc126921992"/>
      <w:bookmarkStart w:id="40" w:name="_Toc392669644"/>
      <w:r w:rsidRPr="00A86E43">
        <w:rPr>
          <w:rFonts w:asciiTheme="minorHAnsi" w:hAnsiTheme="minorHAnsi" w:cstheme="minorHAnsi"/>
          <w:sz w:val="22"/>
          <w:szCs w:val="22"/>
        </w:rPr>
        <w:t>Expert en charge de l’exécution de la mission</w:t>
      </w:r>
      <w:bookmarkEnd w:id="38"/>
      <w:bookmarkEnd w:id="39"/>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1" w:name="_Toc126921993"/>
      <w:r w:rsidRPr="00A86E43">
        <w:rPr>
          <w:rFonts w:asciiTheme="minorHAnsi" w:hAnsiTheme="minorHAnsi" w:cstheme="minorHAnsi"/>
          <w:sz w:val="22"/>
          <w:szCs w:val="22"/>
        </w:rPr>
        <w:t>Lieu d’exécution</w:t>
      </w:r>
      <w:bookmarkEnd w:id="40"/>
      <w:bookmarkEnd w:id="41"/>
    </w:p>
    <w:p w14:paraId="211EA0ED" w14:textId="4924C538" w:rsidR="00E25D2D" w:rsidRPr="00A86E43" w:rsidRDefault="005563C9" w:rsidP="00986B52">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986B52">
        <w:rPr>
          <w:rFonts w:asciiTheme="minorHAnsi" w:hAnsiTheme="minorHAnsi" w:cstheme="minorHAnsi"/>
          <w:szCs w:val="22"/>
        </w:rPr>
        <w:t>Tunisie.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2" w:name="_Toc126921996"/>
      <w:bookmarkStart w:id="43" w:name="_Toc392669645"/>
      <w:r>
        <w:rPr>
          <w:rFonts w:asciiTheme="minorHAnsi" w:hAnsiTheme="minorHAnsi" w:cstheme="minorHAnsi"/>
          <w:sz w:val="22"/>
          <w:szCs w:val="22"/>
        </w:rPr>
        <w:t>Langue du contrat</w:t>
      </w:r>
      <w:bookmarkEnd w:id="42"/>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4" w:name="_Toc126921997"/>
      <w:r w:rsidRPr="00A86E43">
        <w:rPr>
          <w:rFonts w:asciiTheme="minorHAnsi" w:hAnsiTheme="minorHAnsi" w:cstheme="minorHAnsi"/>
          <w:sz w:val="22"/>
          <w:szCs w:val="22"/>
        </w:rPr>
        <w:t xml:space="preserve">Engagement du </w:t>
      </w:r>
      <w:bookmarkEnd w:id="43"/>
      <w:r w:rsidR="00825236" w:rsidRPr="003A0706">
        <w:rPr>
          <w:rFonts w:asciiTheme="minorHAnsi" w:hAnsiTheme="minorHAnsi" w:cstheme="minorHAnsi"/>
          <w:smallCaps/>
          <w:sz w:val="22"/>
          <w:szCs w:val="22"/>
        </w:rPr>
        <w:t>Contractant</w:t>
      </w:r>
      <w:bookmarkEnd w:id="44"/>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w:t>
      </w:r>
      <w:r w:rsidRPr="00A86E43">
        <w:rPr>
          <w:rFonts w:asciiTheme="minorHAnsi" w:hAnsiTheme="minorHAnsi" w:cstheme="minorHAnsi"/>
          <w:szCs w:val="22"/>
        </w:rPr>
        <w:lastRenderedPageBreak/>
        <w:t xml:space="preserve">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5" w:name="_Toc392669646"/>
      <w:bookmarkStart w:id="46" w:name="_Toc126921998"/>
      <w:r w:rsidRPr="00A86E43">
        <w:rPr>
          <w:rFonts w:asciiTheme="minorHAnsi" w:hAnsiTheme="minorHAnsi" w:cstheme="minorHAnsi"/>
          <w:sz w:val="22"/>
          <w:szCs w:val="22"/>
        </w:rPr>
        <w:t>Confidentialité</w:t>
      </w:r>
      <w:bookmarkEnd w:id="45"/>
      <w:bookmarkEnd w:id="46"/>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7" w:name="_Toc392669648"/>
      <w:bookmarkStart w:id="48"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7"/>
      <w:bookmarkEnd w:id="48"/>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A86E43" w:rsidRDefault="00E25860"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Pr="00A86E43">
        <w:rPr>
          <w:rFonts w:asciiTheme="minorHAnsi" w:hAnsiTheme="minorHAnsi" w:cstheme="minorHAnsi"/>
          <w:smallCaps/>
          <w:szCs w:val="22"/>
          <w:highlight w:val="yellow"/>
        </w:rPr>
        <w:t>C</w:t>
      </w:r>
      <w:r w:rsidR="00F415F2" w:rsidRPr="00A86E43">
        <w:rPr>
          <w:rFonts w:asciiTheme="minorHAnsi" w:hAnsiTheme="minorHAnsi" w:cstheme="minorHAnsi"/>
          <w:smallCaps/>
          <w:szCs w:val="22"/>
          <w:highlight w:val="yellow"/>
        </w:rPr>
        <w:t>ontrat principal</w:t>
      </w:r>
    </w:p>
    <w:p w14:paraId="195BB9F7" w14:textId="77777777" w:rsidR="005C1231" w:rsidRPr="00A86E43" w:rsidRDefault="005C1231" w:rsidP="00A1761D">
      <w:pPr>
        <w:pStyle w:val="u"/>
        <w:widowControl w:val="0"/>
        <w:numPr>
          <w:ilvl w:val="0"/>
          <w:numId w:val="13"/>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AF33C4" w:rsidRPr="00A86E43">
        <w:rPr>
          <w:rFonts w:asciiTheme="minorHAnsi" w:hAnsiTheme="minorHAnsi" w:cstheme="minorHAnsi"/>
          <w:smallCaps/>
          <w:szCs w:val="22"/>
          <w:highlight w:val="yellow"/>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9"/>
      <w:bookmarkStart w:id="50" w:name="_Toc126922000"/>
      <w:r w:rsidRPr="00A86E43">
        <w:rPr>
          <w:rFonts w:asciiTheme="minorHAnsi" w:hAnsiTheme="minorHAnsi" w:cstheme="minorHAnsi"/>
          <w:sz w:val="22"/>
          <w:szCs w:val="22"/>
        </w:rPr>
        <w:t>Assurance</w:t>
      </w:r>
      <w:bookmarkEnd w:id="49"/>
      <w:bookmarkEnd w:id="50"/>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lastRenderedPageBreak/>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1" w:name="_Ref464060009"/>
      <w:bookmarkStart w:id="52" w:name="_Toc525912441"/>
      <w:bookmarkStart w:id="53" w:name="_Toc126922001"/>
      <w:r w:rsidRPr="00A86E43">
        <w:rPr>
          <w:rFonts w:asciiTheme="minorHAnsi" w:hAnsiTheme="minorHAnsi" w:cstheme="minorHAnsi"/>
          <w:sz w:val="22"/>
          <w:szCs w:val="22"/>
        </w:rPr>
        <w:t>Point de contact et communication</w:t>
      </w:r>
      <w:bookmarkEnd w:id="51"/>
      <w:bookmarkEnd w:id="52"/>
      <w:bookmarkEnd w:id="53"/>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0ACAF0BA" w14:textId="77777777" w:rsidR="00692CAB" w:rsidRPr="00171FC1" w:rsidRDefault="00692CAB" w:rsidP="00692CAB">
            <w:pPr>
              <w:widowControl w:val="0"/>
              <w:numPr>
                <w:ilvl w:val="12"/>
                <w:numId w:val="0"/>
              </w:numPr>
              <w:spacing w:line="240" w:lineRule="auto"/>
              <w:jc w:val="both"/>
              <w:rPr>
                <w:rFonts w:asciiTheme="minorHAnsi" w:hAnsiTheme="minorHAnsi" w:cstheme="minorHAnsi"/>
                <w:smallCaps/>
                <w:sz w:val="22"/>
                <w:szCs w:val="22"/>
              </w:rPr>
            </w:pPr>
            <w:r w:rsidRPr="00171FC1">
              <w:rPr>
                <w:rFonts w:asciiTheme="minorHAnsi" w:hAnsiTheme="minorHAnsi" w:cstheme="minorHAnsi"/>
                <w:smallCaps/>
                <w:sz w:val="22"/>
                <w:szCs w:val="22"/>
              </w:rPr>
              <w:t xml:space="preserve">Expertise France </w:t>
            </w:r>
          </w:p>
          <w:p w14:paraId="2681BF27" w14:textId="77777777" w:rsidR="00692CAB" w:rsidRPr="00171FC1" w:rsidRDefault="00692CAB" w:rsidP="00692CAB">
            <w:pPr>
              <w:widowControl w:val="0"/>
              <w:numPr>
                <w:ilvl w:val="12"/>
                <w:numId w:val="0"/>
              </w:numPr>
              <w:spacing w:line="240" w:lineRule="auto"/>
              <w:rPr>
                <w:rFonts w:asciiTheme="minorHAnsi" w:hAnsiTheme="minorHAnsi" w:cstheme="minorHAnsi"/>
                <w:sz w:val="22"/>
                <w:szCs w:val="22"/>
              </w:rPr>
            </w:pPr>
            <w:r w:rsidRPr="00171FC1">
              <w:rPr>
                <w:rFonts w:asciiTheme="minorHAnsi" w:hAnsiTheme="minorHAnsi" w:cstheme="minorHAnsi"/>
                <w:sz w:val="22"/>
                <w:szCs w:val="22"/>
              </w:rPr>
              <w:t>Coordinatrice du projet patrimoine 3ooo en Tunisie</w:t>
            </w:r>
          </w:p>
          <w:p w14:paraId="5A8EFBC1" w14:textId="77777777" w:rsidR="00692CAB" w:rsidRPr="00171FC1" w:rsidRDefault="00692CAB" w:rsidP="00692CAB">
            <w:pPr>
              <w:widowControl w:val="0"/>
              <w:numPr>
                <w:ilvl w:val="12"/>
                <w:numId w:val="0"/>
              </w:numPr>
              <w:spacing w:line="240" w:lineRule="auto"/>
              <w:jc w:val="both"/>
              <w:rPr>
                <w:rFonts w:asciiTheme="minorHAnsi" w:hAnsiTheme="minorHAnsi" w:cstheme="minorHAnsi"/>
                <w:sz w:val="22"/>
                <w:szCs w:val="22"/>
              </w:rPr>
            </w:pPr>
            <w:r w:rsidRPr="00171FC1">
              <w:rPr>
                <w:rFonts w:asciiTheme="minorHAnsi" w:hAnsiTheme="minorHAnsi" w:cstheme="minorHAnsi"/>
                <w:sz w:val="22"/>
                <w:szCs w:val="22"/>
              </w:rPr>
              <w:t>Pauline LECOINTE</w:t>
            </w:r>
          </w:p>
          <w:p w14:paraId="3A5D0AFB" w14:textId="77777777" w:rsidR="00692CAB" w:rsidRPr="00171FC1" w:rsidRDefault="00692CAB" w:rsidP="00692CAB">
            <w:pPr>
              <w:widowControl w:val="0"/>
              <w:numPr>
                <w:ilvl w:val="12"/>
                <w:numId w:val="0"/>
              </w:numPr>
              <w:spacing w:line="240" w:lineRule="auto"/>
              <w:rPr>
                <w:rFonts w:asciiTheme="minorHAnsi" w:hAnsiTheme="minorHAnsi" w:cstheme="minorHAnsi"/>
                <w:sz w:val="22"/>
                <w:szCs w:val="22"/>
              </w:rPr>
            </w:pPr>
            <w:r w:rsidRPr="00171FC1">
              <w:rPr>
                <w:rFonts w:asciiTheme="minorHAnsi" w:hAnsiTheme="minorHAnsi" w:cstheme="minorHAnsi"/>
                <w:sz w:val="22"/>
                <w:szCs w:val="22"/>
              </w:rPr>
              <w:t>20 rue Ibn Nafis-SOPIC Bulding</w:t>
            </w:r>
          </w:p>
          <w:p w14:paraId="011F9325" w14:textId="1E7B204B" w:rsidR="00D07897" w:rsidRPr="00A86E43" w:rsidRDefault="00692CAB" w:rsidP="00692CAB">
            <w:pPr>
              <w:widowControl w:val="0"/>
              <w:numPr>
                <w:ilvl w:val="12"/>
                <w:numId w:val="0"/>
              </w:numPr>
              <w:spacing w:line="240" w:lineRule="auto"/>
              <w:jc w:val="both"/>
              <w:rPr>
                <w:rFonts w:asciiTheme="minorHAnsi" w:hAnsiTheme="minorHAnsi" w:cstheme="minorHAnsi"/>
                <w:sz w:val="22"/>
                <w:szCs w:val="22"/>
                <w:highlight w:val="yellow"/>
              </w:rPr>
            </w:pPr>
            <w:r w:rsidRPr="00171FC1">
              <w:rPr>
                <w:rFonts w:asciiTheme="minorHAnsi" w:hAnsiTheme="minorHAnsi" w:cstheme="minorHAnsi"/>
                <w:sz w:val="22"/>
                <w:szCs w:val="22"/>
              </w:rPr>
              <w:t>ZI Kharedine, 2015 Lac 3 Tunis, Tunisie</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4" w:name="_Toc126922002"/>
      <w:r>
        <w:rPr>
          <w:rFonts w:asciiTheme="minorHAnsi" w:hAnsiTheme="minorHAnsi" w:cstheme="minorHAnsi"/>
          <w:sz w:val="22"/>
          <w:szCs w:val="22"/>
        </w:rPr>
        <w:t>Engagement contre la déforestation</w:t>
      </w:r>
      <w:bookmarkEnd w:id="54"/>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lastRenderedPageBreak/>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26922003"/>
      <w:r w:rsidRPr="00A86E43">
        <w:rPr>
          <w:rFonts w:asciiTheme="minorHAnsi" w:hAnsiTheme="minorHAnsi"/>
          <w:b/>
          <w:caps/>
          <w:sz w:val="24"/>
          <w:u w:val="single"/>
        </w:rPr>
        <w:t>Clause de réexamen</w:t>
      </w:r>
      <w:bookmarkEnd w:id="55"/>
    </w:p>
    <w:p w14:paraId="129A8511" w14:textId="77777777" w:rsidR="00692CAB" w:rsidRPr="00171FC1" w:rsidRDefault="00692CAB" w:rsidP="00692CAB">
      <w:pPr>
        <w:pStyle w:val="u"/>
        <w:widowControl w:val="0"/>
        <w:numPr>
          <w:ilvl w:val="12"/>
          <w:numId w:val="0"/>
        </w:numPr>
        <w:spacing w:before="120"/>
        <w:ind w:left="561"/>
        <w:rPr>
          <w:rFonts w:asciiTheme="minorHAnsi" w:hAnsiTheme="minorHAnsi" w:cs="Arial"/>
          <w:szCs w:val="22"/>
        </w:rPr>
      </w:pPr>
      <w:bookmarkStart w:id="56" w:name="_Toc70411395"/>
      <w:bookmarkStart w:id="57" w:name="_Toc126922004"/>
      <w:r w:rsidRPr="00171FC1">
        <w:rPr>
          <w:rFonts w:asciiTheme="minorHAnsi" w:hAnsiTheme="minorHAnsi" w:cs="Arial"/>
          <w:szCs w:val="22"/>
        </w:rPr>
        <w:t xml:space="preserve">En application des articles R.2194-1 et suivants du code de la commande publique, </w:t>
      </w:r>
      <w:r w:rsidRPr="00171FC1">
        <w:rPr>
          <w:rFonts w:asciiTheme="minorHAnsi" w:hAnsiTheme="minorHAnsi" w:cs="Arial"/>
          <w:smallCaps/>
          <w:szCs w:val="22"/>
        </w:rPr>
        <w:t>Expertise France</w:t>
      </w:r>
      <w:r w:rsidRPr="00171FC1">
        <w:rPr>
          <w:rFonts w:asciiTheme="minorHAnsi" w:hAnsiTheme="minorHAnsi" w:cs="Arial"/>
          <w:szCs w:val="22"/>
        </w:rPr>
        <w:t xml:space="preserve"> peut apporter les modifications aux dispositions du présent contrat dans les conditions suivantes : </w:t>
      </w:r>
    </w:p>
    <w:p w14:paraId="4CEF9825" w14:textId="77777777" w:rsidR="00692CAB" w:rsidRPr="00171FC1" w:rsidRDefault="00692CAB" w:rsidP="00692CAB">
      <w:pPr>
        <w:pStyle w:val="u"/>
        <w:widowControl w:val="0"/>
        <w:numPr>
          <w:ilvl w:val="0"/>
          <w:numId w:val="51"/>
        </w:numPr>
        <w:spacing w:before="120"/>
        <w:rPr>
          <w:rFonts w:asciiTheme="minorHAnsi" w:hAnsiTheme="minorHAnsi" w:cs="Arial"/>
          <w:szCs w:val="22"/>
        </w:rPr>
      </w:pPr>
      <w:r w:rsidRPr="00171FC1">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Pr="00171FC1">
        <w:rPr>
          <w:rFonts w:asciiTheme="minorHAnsi" w:hAnsiTheme="minorHAnsi" w:cs="Arial"/>
          <w:smallCaps/>
          <w:szCs w:val="22"/>
        </w:rPr>
        <w:t>Expertise France</w:t>
      </w:r>
      <w:r w:rsidRPr="00171FC1">
        <w:rPr>
          <w:rFonts w:asciiTheme="minorHAnsi" w:hAnsiTheme="minorHAnsi" w:cs="Arial"/>
          <w:szCs w:val="22"/>
        </w:rPr>
        <w:t>;</w:t>
      </w:r>
    </w:p>
    <w:p w14:paraId="1EAC9B69" w14:textId="77777777" w:rsidR="00692CAB" w:rsidRPr="00171FC1" w:rsidRDefault="00692CAB" w:rsidP="00692CAB">
      <w:pPr>
        <w:pStyle w:val="u"/>
        <w:widowControl w:val="0"/>
        <w:numPr>
          <w:ilvl w:val="0"/>
          <w:numId w:val="51"/>
        </w:numPr>
        <w:spacing w:before="120"/>
        <w:rPr>
          <w:rFonts w:asciiTheme="minorHAnsi" w:hAnsiTheme="minorHAnsi" w:cs="Arial"/>
          <w:szCs w:val="22"/>
        </w:rPr>
      </w:pPr>
      <w:r w:rsidRPr="00171FC1">
        <w:rPr>
          <w:rFonts w:asciiTheme="minorHAnsi" w:hAnsiTheme="minorHAnsi" w:cs="Arial"/>
          <w:szCs w:val="22"/>
        </w:rPr>
        <w:t>La mise à jour d’éléments techniques (précisions sur les livrables …).</w:t>
      </w:r>
    </w:p>
    <w:p w14:paraId="5ED2C80F" w14:textId="77777777" w:rsidR="00692CAB" w:rsidRPr="00171FC1" w:rsidRDefault="00692CAB" w:rsidP="00692CAB">
      <w:pPr>
        <w:pStyle w:val="u"/>
        <w:widowControl w:val="0"/>
        <w:numPr>
          <w:ilvl w:val="12"/>
          <w:numId w:val="0"/>
        </w:numPr>
        <w:spacing w:before="120"/>
        <w:ind w:left="561"/>
        <w:rPr>
          <w:rFonts w:asciiTheme="minorHAnsi" w:hAnsiTheme="minorHAnsi" w:cs="Arial"/>
          <w:szCs w:val="22"/>
        </w:rPr>
      </w:pPr>
      <w:r w:rsidRPr="00171FC1">
        <w:rPr>
          <w:rFonts w:asciiTheme="minorHAnsi" w:hAnsiTheme="minorHAnsi" w:cs="Arial"/>
          <w:szCs w:val="22"/>
        </w:rPr>
        <w:t xml:space="preserve">Ces modifications sont notifiées au </w:t>
      </w:r>
      <w:r w:rsidRPr="00171FC1">
        <w:rPr>
          <w:rFonts w:asciiTheme="minorHAnsi" w:hAnsiTheme="minorHAnsi" w:cs="Arial"/>
          <w:smallCaps/>
          <w:szCs w:val="22"/>
        </w:rPr>
        <w:t>Contractant</w:t>
      </w:r>
      <w:r w:rsidRPr="00171FC1">
        <w:rPr>
          <w:rFonts w:asciiTheme="minorHAnsi" w:hAnsiTheme="minorHAnsi" w:cs="Arial"/>
          <w:szCs w:val="22"/>
        </w:rPr>
        <w:t> 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8" w:name="_GoBack"/>
      <w:bookmarkEnd w:id="58"/>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6"/>
      <w:bookmarkEnd w:id="57"/>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9"/>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0"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0"/>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1"/>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62"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2"/>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3" w:name="_Toc126922009"/>
      <w:bookmarkStart w:id="64" w:name="_Toc392669651"/>
      <w:r w:rsidRPr="00A86E43">
        <w:rPr>
          <w:rFonts w:asciiTheme="minorHAnsi" w:hAnsiTheme="minorHAnsi"/>
          <w:sz w:val="22"/>
          <w:szCs w:val="22"/>
        </w:rPr>
        <w:t>Définitions</w:t>
      </w:r>
      <w:bookmarkEnd w:id="63"/>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5" w:name="_Toc126922010"/>
      <w:r w:rsidRPr="00A86E43">
        <w:rPr>
          <w:rFonts w:asciiTheme="minorHAnsi" w:hAnsiTheme="minorHAnsi"/>
          <w:sz w:val="22"/>
          <w:szCs w:val="22"/>
        </w:rPr>
        <w:t>Propriété des résultats</w:t>
      </w:r>
      <w:bookmarkEnd w:id="65"/>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6" w:name="_Toc126922011"/>
      <w:r w:rsidRPr="00A86E43">
        <w:rPr>
          <w:rFonts w:asciiTheme="minorHAnsi" w:hAnsiTheme="minorHAnsi"/>
          <w:sz w:val="22"/>
          <w:szCs w:val="22"/>
        </w:rPr>
        <w:t>Exploitation des résultats</w:t>
      </w:r>
      <w:bookmarkEnd w:id="66"/>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7" w:name="_Toc126922012"/>
      <w:r w:rsidRPr="00A86E43">
        <w:rPr>
          <w:rFonts w:asciiTheme="minorHAnsi" w:hAnsiTheme="minorHAnsi"/>
          <w:sz w:val="22"/>
          <w:szCs w:val="22"/>
        </w:rPr>
        <w:lastRenderedPageBreak/>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7"/>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8" w:name="_Toc126922013"/>
      <w:r w:rsidRPr="00A86E43">
        <w:rPr>
          <w:rFonts w:asciiTheme="minorHAnsi" w:hAnsiTheme="minorHAnsi"/>
          <w:sz w:val="22"/>
          <w:szCs w:val="22"/>
        </w:rPr>
        <w:t>Garanties</w:t>
      </w:r>
      <w:bookmarkEnd w:id="68"/>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9" w:name="_Toc126922014"/>
      <w:r w:rsidRPr="00A86E43">
        <w:rPr>
          <w:rFonts w:asciiTheme="minorHAnsi" w:hAnsiTheme="minorHAnsi"/>
          <w:sz w:val="22"/>
          <w:szCs w:val="22"/>
        </w:rPr>
        <w:t>Droits à l’image</w:t>
      </w:r>
      <w:bookmarkEnd w:id="69"/>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26922015"/>
      <w:bookmarkEnd w:id="6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0"/>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1" w:name="_Toc126922016"/>
      <w:r w:rsidRPr="00A86E43">
        <w:rPr>
          <w:rFonts w:asciiTheme="minorHAnsi" w:hAnsiTheme="minorHAnsi" w:cstheme="minorHAnsi"/>
          <w:sz w:val="22"/>
          <w:szCs w:val="22"/>
        </w:rPr>
        <w:t>Modalités générales de résiliation</w:t>
      </w:r>
      <w:bookmarkEnd w:id="71"/>
    </w:p>
    <w:p w14:paraId="1D7F1F4E" w14:textId="339F842C" w:rsidR="0000635E" w:rsidRDefault="0000635E" w:rsidP="00692CAB">
      <w:pPr>
        <w:spacing w:line="240" w:lineRule="auto"/>
        <w:ind w:left="567"/>
        <w:jc w:val="both"/>
        <w:rPr>
          <w:rFonts w:asciiTheme="minorHAnsi" w:hAnsiTheme="minorHAnsi" w:cstheme="minorHAnsi"/>
          <w:sz w:val="22"/>
          <w:szCs w:val="22"/>
        </w:rPr>
      </w:pPr>
      <w:r w:rsidRPr="00244369">
        <w:rPr>
          <w:rFonts w:asciiTheme="minorHAnsi" w:hAnsiTheme="minorHAnsi" w:cstheme="minorHAnsi"/>
          <w:sz w:val="22"/>
          <w:szCs w:val="22"/>
          <w:highlight w:val="yellow"/>
        </w:rPr>
        <w:t xml:space="preserve">Le présent </w:t>
      </w:r>
      <w:r w:rsidRPr="00244369">
        <w:rPr>
          <w:rFonts w:asciiTheme="minorHAnsi" w:hAnsiTheme="minorHAnsi" w:cstheme="minorHAnsi"/>
          <w:smallCaps/>
          <w:sz w:val="22"/>
          <w:szCs w:val="22"/>
          <w:highlight w:val="yellow"/>
        </w:rPr>
        <w:t>contrat</w:t>
      </w:r>
      <w:r w:rsidRPr="00244369">
        <w:rPr>
          <w:rFonts w:asciiTheme="minorHAnsi" w:hAnsiTheme="minorHAnsi" w:cstheme="minorHAnsi"/>
          <w:sz w:val="22"/>
          <w:szCs w:val="22"/>
          <w:highlight w:val="yellow"/>
        </w:rPr>
        <w:t xml:space="preserve"> est soumis aux clauses de résiliation telle que défini</w:t>
      </w:r>
      <w:r w:rsidR="00884FDC" w:rsidRPr="00244369">
        <w:rPr>
          <w:rFonts w:asciiTheme="minorHAnsi" w:hAnsiTheme="minorHAnsi" w:cstheme="minorHAnsi"/>
          <w:sz w:val="22"/>
          <w:szCs w:val="22"/>
          <w:highlight w:val="yellow"/>
        </w:rPr>
        <w:t>es aux articles 29 à 36 du CCAG</w:t>
      </w:r>
      <w:r w:rsidR="00B813FE" w:rsidRPr="00244369">
        <w:rPr>
          <w:rFonts w:asciiTheme="minorHAnsi" w:hAnsiTheme="minorHAnsi" w:cstheme="minorHAnsi"/>
          <w:sz w:val="22"/>
          <w:szCs w:val="22"/>
          <w:highlight w:val="yellow"/>
        </w:rPr>
        <w:t xml:space="preserve"> PI</w:t>
      </w:r>
      <w:r w:rsidRPr="00244369">
        <w:rPr>
          <w:rFonts w:asciiTheme="minorHAnsi" w:hAnsiTheme="minorHAnsi" w:cstheme="minorHAnsi"/>
          <w:sz w:val="22"/>
          <w:szCs w:val="22"/>
          <w:highlight w:val="yellow"/>
        </w:rPr>
        <w:t>.</w:t>
      </w:r>
    </w:p>
    <w:p w14:paraId="58C218A4" w14:textId="0294EF46" w:rsidR="00704355" w:rsidRDefault="00704355" w:rsidP="00A1761D">
      <w:pPr>
        <w:spacing w:line="240" w:lineRule="auto"/>
        <w:ind w:left="567"/>
        <w:jc w:val="both"/>
        <w:rPr>
          <w:rFonts w:asciiTheme="minorHAnsi" w:hAnsiTheme="minorHAnsi" w:cstheme="minorHAnsi"/>
          <w:sz w:val="22"/>
          <w:szCs w:val="22"/>
        </w:rPr>
      </w:pPr>
    </w:p>
    <w:p w14:paraId="26AC07CE" w14:textId="61CCA7B8" w:rsidR="00704355" w:rsidRPr="00A86E43" w:rsidRDefault="00912BFE" w:rsidP="00692CAB">
      <w:pPr>
        <w:spacing w:line="240" w:lineRule="auto"/>
        <w:ind w:left="567"/>
        <w:jc w:val="both"/>
        <w:rPr>
          <w:rFonts w:asciiTheme="minorHAnsi" w:hAnsiTheme="minorHAnsi" w:cstheme="minorHAnsi"/>
          <w:sz w:val="22"/>
          <w:szCs w:val="22"/>
        </w:rPr>
      </w:pPr>
      <w:r>
        <w:rPr>
          <w:rFonts w:asciiTheme="minorHAnsi" w:hAnsiTheme="minorHAnsi" w:cstheme="minorHAnsi"/>
          <w:sz w:val="22"/>
          <w:szCs w:val="22"/>
        </w:rPr>
        <w:t xml:space="preserve">Par dérogation à l’article </w:t>
      </w:r>
      <w:r w:rsidRPr="000C75D3">
        <w:rPr>
          <w:rFonts w:asciiTheme="minorHAnsi" w:hAnsiTheme="minorHAnsi" w:cstheme="minorHAnsi"/>
          <w:sz w:val="22"/>
          <w:szCs w:val="22"/>
          <w:highlight w:val="yellow"/>
        </w:rPr>
        <w:t>40 du CCAG PI</w:t>
      </w:r>
      <w:r w:rsidR="00692CAB">
        <w:rPr>
          <w:rFonts w:asciiTheme="minorHAnsi" w:hAnsiTheme="minorHAnsi" w:cstheme="minorHAnsi"/>
          <w:sz w:val="22"/>
          <w:szCs w:val="22"/>
        </w:rPr>
        <w:t>,</w:t>
      </w:r>
      <w:r>
        <w:rPr>
          <w:rFonts w:asciiTheme="minorHAnsi" w:hAnsiTheme="minorHAnsi" w:cstheme="minorHAnsi"/>
          <w:sz w:val="22"/>
          <w:szCs w:val="22"/>
        </w:rPr>
        <w:t xml:space="preserve"> la résiliation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2"/>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3" w:name="_Toc126922018"/>
      <w:r w:rsidRPr="00A86E43">
        <w:rPr>
          <w:rFonts w:asciiTheme="minorHAnsi" w:hAnsiTheme="minorHAnsi" w:cstheme="minorHAnsi"/>
          <w:sz w:val="22"/>
          <w:szCs w:val="22"/>
        </w:rPr>
        <w:t>Procédure</w:t>
      </w:r>
      <w:bookmarkEnd w:id="7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4" w:name="_Toc126922019"/>
      <w:r w:rsidR="00386EE8" w:rsidRPr="00E41C9A">
        <w:rPr>
          <w:rFonts w:asciiTheme="minorHAnsi" w:hAnsiTheme="minorHAnsi"/>
          <w:b/>
          <w:caps/>
          <w:sz w:val="24"/>
          <w:u w:val="single"/>
        </w:rPr>
        <w:t>Mesures et responsabilités en matière de sûreté et de sécurité</w:t>
      </w:r>
      <w:bookmarkEnd w:id="7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6" w:name="_Toc126922020"/>
      <w:r w:rsidRPr="00A86E43">
        <w:rPr>
          <w:rFonts w:asciiTheme="minorHAnsi" w:hAnsiTheme="minorHAnsi"/>
          <w:b/>
          <w:caps/>
          <w:sz w:val="24"/>
          <w:u w:val="single"/>
        </w:rPr>
        <w:t>Éthique</w:t>
      </w:r>
      <w:bookmarkEnd w:id="7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8" w:name="_Toc70410857"/>
      <w:bookmarkStart w:id="79" w:name="_Toc70410991"/>
      <w:bookmarkStart w:id="80" w:name="_Toc70411545"/>
      <w:bookmarkStart w:id="81" w:name="_Toc70410858"/>
      <w:bookmarkStart w:id="82" w:name="_Toc70410992"/>
      <w:bookmarkStart w:id="83" w:name="_Toc70411546"/>
      <w:bookmarkStart w:id="84" w:name="_Toc70410859"/>
      <w:bookmarkStart w:id="85" w:name="_Toc70410993"/>
      <w:bookmarkStart w:id="86" w:name="_Toc70411547"/>
      <w:bookmarkStart w:id="87" w:name="_Toc70410860"/>
      <w:bookmarkStart w:id="88" w:name="_Toc70410994"/>
      <w:bookmarkStart w:id="89" w:name="_Toc70411548"/>
      <w:bookmarkStart w:id="90" w:name="_Toc70410861"/>
      <w:bookmarkStart w:id="91" w:name="_Toc70410995"/>
      <w:bookmarkStart w:id="92" w:name="_Toc70411549"/>
      <w:bookmarkStart w:id="93" w:name="_Toc70410862"/>
      <w:bookmarkStart w:id="94" w:name="_Toc70410996"/>
      <w:bookmarkStart w:id="95" w:name="_Toc70411550"/>
      <w:bookmarkStart w:id="96" w:name="_Toc70410863"/>
      <w:bookmarkStart w:id="97" w:name="_Toc70410997"/>
      <w:bookmarkStart w:id="98" w:name="_Toc70411551"/>
      <w:bookmarkStart w:id="99" w:name="_Toc70410866"/>
      <w:bookmarkStart w:id="100" w:name="_Toc70411000"/>
      <w:bookmarkStart w:id="101" w:name="_Toc70411554"/>
      <w:bookmarkStart w:id="102" w:name="_Toc70410867"/>
      <w:bookmarkStart w:id="103" w:name="_Toc70411001"/>
      <w:bookmarkStart w:id="104" w:name="_Toc70411555"/>
      <w:bookmarkStart w:id="105" w:name="_Toc70410868"/>
      <w:bookmarkStart w:id="106" w:name="_Toc70411002"/>
      <w:bookmarkStart w:id="107" w:name="_Toc70411556"/>
      <w:bookmarkStart w:id="108" w:name="_Toc70410871"/>
      <w:bookmarkStart w:id="109" w:name="_Toc70411005"/>
      <w:bookmarkStart w:id="110" w:name="_Toc70411559"/>
      <w:bookmarkStart w:id="111" w:name="_Toc70410872"/>
      <w:bookmarkStart w:id="112" w:name="_Toc70411006"/>
      <w:bookmarkStart w:id="113" w:name="_Toc70411560"/>
      <w:bookmarkStart w:id="114" w:name="_Toc70410876"/>
      <w:bookmarkStart w:id="115" w:name="_Toc70411010"/>
      <w:bookmarkStart w:id="116" w:name="_Toc70411564"/>
      <w:bookmarkStart w:id="117" w:name="_Toc70410877"/>
      <w:bookmarkStart w:id="118" w:name="_Toc70411011"/>
      <w:bookmarkStart w:id="119" w:name="_Toc70411565"/>
      <w:bookmarkStart w:id="120" w:name="_Toc70410878"/>
      <w:bookmarkStart w:id="121" w:name="_Toc70411012"/>
      <w:bookmarkStart w:id="122" w:name="_Toc70411566"/>
      <w:bookmarkStart w:id="123" w:name="_Toc12692202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3"/>
    </w:p>
    <w:p w14:paraId="64DCE497"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4E9CCDA" w14:textId="77777777" w:rsidR="00692CAB" w:rsidRDefault="006536FA" w:rsidP="00692CAB">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24" w:name="_Toc126922023"/>
    </w:p>
    <w:p w14:paraId="6DF03323" w14:textId="036215C5" w:rsidR="00822D98" w:rsidRDefault="002C0411" w:rsidP="00692CAB">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4"/>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bookmarkStart w:id="125" w:name="_Toc126922024"/>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lastRenderedPageBreak/>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1"/>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26" w:name="_Toc126922022"/>
      <w:r w:rsidRPr="00A86E43">
        <w:rPr>
          <w:rFonts w:asciiTheme="minorHAnsi" w:hAnsiTheme="minorHAnsi"/>
          <w:b/>
          <w:caps/>
          <w:sz w:val="24"/>
          <w:u w:val="single"/>
        </w:rPr>
        <w:t>RÈglement des litiges - DROIT Français APPLICABLE</w:t>
      </w:r>
      <w:bookmarkEnd w:id="126"/>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A86E43">
        <w:rPr>
          <w:rFonts w:asciiTheme="minorHAnsi" w:hAnsiTheme="minorHAnsi"/>
          <w:b/>
          <w:caps/>
          <w:sz w:val="24"/>
          <w:u w:val="single"/>
        </w:rPr>
        <w:t>Dispositions finales</w:t>
      </w:r>
      <w:bookmarkEnd w:id="125"/>
    </w:p>
    <w:p w14:paraId="48B71179" w14:textId="77777777" w:rsidR="00800C6C" w:rsidRDefault="00800C6C" w:rsidP="00A1761D">
      <w:pPr>
        <w:pStyle w:val="Titre2"/>
        <w:spacing w:before="120" w:after="60"/>
        <w:jc w:val="both"/>
        <w:rPr>
          <w:rFonts w:asciiTheme="minorHAnsi" w:hAnsiTheme="minorHAnsi"/>
          <w:sz w:val="22"/>
          <w:szCs w:val="22"/>
        </w:rPr>
      </w:pPr>
      <w:bookmarkStart w:id="127" w:name="_Toc392669654"/>
      <w:bookmarkStart w:id="128" w:name="_Toc126922025"/>
      <w:r w:rsidRPr="00A86E43">
        <w:rPr>
          <w:rFonts w:asciiTheme="minorHAnsi" w:hAnsiTheme="minorHAnsi"/>
          <w:sz w:val="22"/>
          <w:szCs w:val="22"/>
        </w:rPr>
        <w:t>Déclaration</w:t>
      </w:r>
      <w:bookmarkEnd w:id="127"/>
      <w:bookmarkEnd w:id="128"/>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lastRenderedPageBreak/>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9"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29"/>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0A28CE" w14:textId="77777777" w:rsidR="003E1892" w:rsidRDefault="003E1892">
      <w:r>
        <w:separator/>
      </w:r>
    </w:p>
  </w:endnote>
  <w:endnote w:type="continuationSeparator" w:id="0">
    <w:p w14:paraId="3AEA6432" w14:textId="77777777" w:rsidR="003E1892" w:rsidRDefault="003E1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2AEE" w14:textId="77777777" w:rsidR="0013197E" w:rsidRDefault="0013197E">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13197E" w:rsidRDefault="0013197E"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60CEB73" w:rsidR="0013197E" w:rsidRDefault="0013197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92CAB">
              <w:rPr>
                <w:rFonts w:asciiTheme="minorHAnsi" w:hAnsiTheme="minorHAnsi"/>
                <w:b/>
                <w:bCs/>
                <w:noProof/>
                <w:sz w:val="22"/>
                <w:szCs w:val="22"/>
              </w:rPr>
              <w:t>11</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92CAB">
              <w:rPr>
                <w:rFonts w:asciiTheme="minorHAnsi" w:hAnsiTheme="minorHAnsi"/>
                <w:b/>
                <w:bCs/>
                <w:noProof/>
                <w:sz w:val="22"/>
                <w:szCs w:val="22"/>
              </w:rPr>
              <w:t>21</w:t>
            </w:r>
            <w:r>
              <w:rPr>
                <w:rFonts w:asciiTheme="minorHAnsi" w:hAnsiTheme="minorHAnsi"/>
                <w:sz w:val="22"/>
                <w:szCs w:val="22"/>
              </w:rPr>
              <w:fldChar w:fldCharType="end"/>
            </w:r>
          </w:p>
        </w:sdtContent>
      </w:sdt>
      <w:p w14:paraId="0482806B" w14:textId="77777777" w:rsidR="0013197E" w:rsidRDefault="0013197E"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13197E" w:rsidRDefault="0013197E"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7CB39CAF" w:rsidR="0013197E" w:rsidRDefault="0013197E"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692CA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692CAB">
              <w:rPr>
                <w:rFonts w:asciiTheme="minorHAnsi" w:hAnsiTheme="minorHAnsi"/>
                <w:b/>
                <w:bCs/>
                <w:noProof/>
                <w:sz w:val="22"/>
                <w:szCs w:val="22"/>
              </w:rPr>
              <w:t>21</w:t>
            </w:r>
            <w:r>
              <w:rPr>
                <w:rFonts w:asciiTheme="minorHAnsi" w:hAnsiTheme="minorHAnsi"/>
                <w:b/>
                <w:bCs/>
                <w:sz w:val="22"/>
                <w:szCs w:val="22"/>
              </w:rPr>
              <w:fldChar w:fldCharType="end"/>
            </w:r>
          </w:p>
          <w:p w14:paraId="464BBB64" w14:textId="7DA50AAB" w:rsidR="0013197E" w:rsidRDefault="0013197E"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13197E" w:rsidRDefault="0013197E"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13197E" w:rsidRPr="00065565" w:rsidRDefault="0013197E"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13197E" w:rsidRDefault="0013197E">
    <w:pPr>
      <w:pStyle w:val="Pieddepage"/>
      <w:ind w:right="360"/>
      <w:rPr>
        <w:lang w:val="nl-NL"/>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13197E" w:rsidRPr="00EE0FDD" w:rsidRDefault="0013197E"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3B8DB81" w:rsidR="0013197E" w:rsidRPr="00FF1F8E" w:rsidRDefault="0013197E"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692CAB">
          <w:rPr>
            <w:rFonts w:asciiTheme="minorHAnsi" w:hAnsiTheme="minorHAnsi"/>
            <w:b/>
            <w:bCs/>
            <w:noProof/>
            <w:sz w:val="22"/>
            <w:szCs w:val="22"/>
          </w:rPr>
          <w:t>21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692CAB">
          <w:rPr>
            <w:rFonts w:asciiTheme="minorHAnsi" w:hAnsiTheme="minorHAnsi"/>
            <w:b/>
            <w:bCs/>
            <w:noProof/>
            <w:sz w:val="22"/>
            <w:szCs w:val="22"/>
          </w:rPr>
          <w:t>21</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46906" w14:textId="77777777" w:rsidR="003E1892" w:rsidRDefault="003E1892">
      <w:r>
        <w:separator/>
      </w:r>
    </w:p>
  </w:footnote>
  <w:footnote w:type="continuationSeparator" w:id="0">
    <w:p w14:paraId="21EAF962" w14:textId="77777777" w:rsidR="003E1892" w:rsidRDefault="003E1892">
      <w:r>
        <w:continuationSeparator/>
      </w:r>
    </w:p>
  </w:footnote>
  <w:footnote w:id="1">
    <w:p w14:paraId="73F627CC" w14:textId="77777777" w:rsidR="0013197E" w:rsidRPr="00B21564" w:rsidRDefault="0013197E"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13197E" w:rsidRPr="00A86E43" w:rsidRDefault="0013197E"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13197E" w:rsidRDefault="0013197E"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846E8" w14:textId="77777777" w:rsidR="0013197E" w:rsidRDefault="0013197E">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13197E" w:rsidRPr="00707B69" w:rsidRDefault="0013197E"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13197E" w:rsidRPr="00AC48DD" w:rsidRDefault="0013197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13197E" w:rsidRDefault="0013197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13197E" w:rsidRPr="00AC48DD" w:rsidRDefault="0013197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13197E" w:rsidRDefault="0013197E">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13197E" w:rsidRDefault="0013197E">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13197E" w:rsidRPr="00707B69" w:rsidRDefault="0013197E"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13197E" w:rsidRPr="00AC48DD" w:rsidRDefault="0013197E"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13197E" w:rsidRDefault="0013197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13197E" w:rsidRPr="00AC48DD" w:rsidRDefault="0013197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13197E" w:rsidRPr="00707B69" w:rsidRDefault="0013197E"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13197E" w:rsidRPr="00AC48DD" w:rsidRDefault="0013197E"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13197E" w:rsidRDefault="0013197E"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13197E" w:rsidRPr="00996FEA" w:rsidRDefault="0013197E"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16C8"/>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18F1"/>
    <w:rsid w:val="0013197E"/>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1892"/>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2CAB"/>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6B52"/>
    <w:rsid w:val="009879A2"/>
    <w:rsid w:val="00990C19"/>
    <w:rsid w:val="00996094"/>
    <w:rsid w:val="00996FEA"/>
    <w:rsid w:val="009A0B7B"/>
    <w:rsid w:val="009A4D19"/>
    <w:rsid w:val="009A549E"/>
    <w:rsid w:val="009B5103"/>
    <w:rsid w:val="009B584E"/>
    <w:rsid w:val="009B5F91"/>
    <w:rsid w:val="009C0B55"/>
    <w:rsid w:val="009C2064"/>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AFD36-D821-4B1C-95FF-53C295663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375</TotalTime>
  <Pages>21</Pages>
  <Words>6876</Words>
  <Characters>37821</Characters>
  <Application>Microsoft Office Word</Application>
  <DocSecurity>0</DocSecurity>
  <Lines>315</Lines>
  <Paragraphs>89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44608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Tarak BAOUEB</cp:lastModifiedBy>
  <cp:revision>4</cp:revision>
  <cp:lastPrinted>2014-11-19T14:39:00Z</cp:lastPrinted>
  <dcterms:created xsi:type="dcterms:W3CDTF">2024-10-14T13:32:00Z</dcterms:created>
  <dcterms:modified xsi:type="dcterms:W3CDTF">2025-06-20T14:44:00Z</dcterms:modified>
</cp:coreProperties>
</file>